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3F3DB0" w:rsidRDefault="00A03957" w:rsidP="00A03957">
      <w:pPr>
        <w:rPr>
          <w:sz w:val="56"/>
          <w:szCs w:val="56"/>
          <w:lang w:val="en-IE"/>
        </w:rPr>
      </w:pPr>
    </w:p>
    <w:p w14:paraId="0B5C3EE4" w14:textId="77777777" w:rsidR="00A03957" w:rsidRPr="003F3DB0" w:rsidRDefault="00A03957" w:rsidP="00A03957">
      <w:pPr>
        <w:rPr>
          <w:sz w:val="56"/>
          <w:szCs w:val="56"/>
          <w:lang w:val="en-IE"/>
        </w:rPr>
      </w:pPr>
    </w:p>
    <w:p w14:paraId="396DBD2E" w14:textId="77777777" w:rsidR="00A03957" w:rsidRPr="003F3DB0" w:rsidRDefault="00A03957" w:rsidP="00A03957">
      <w:pPr>
        <w:rPr>
          <w:sz w:val="56"/>
          <w:szCs w:val="56"/>
          <w:lang w:val="en-IE"/>
        </w:rPr>
      </w:pPr>
    </w:p>
    <w:p w14:paraId="7A9107CB" w14:textId="77777777" w:rsidR="00A03957" w:rsidRPr="003F3DB0" w:rsidRDefault="00A03957" w:rsidP="00A03957">
      <w:pPr>
        <w:rPr>
          <w:sz w:val="56"/>
          <w:szCs w:val="56"/>
          <w:lang w:val="en-IE"/>
        </w:rPr>
      </w:pPr>
    </w:p>
    <w:p w14:paraId="71B1E7BB" w14:textId="77777777" w:rsidR="00A03957" w:rsidRPr="003F3DB0" w:rsidRDefault="00A03957" w:rsidP="00A03957">
      <w:pPr>
        <w:rPr>
          <w:sz w:val="56"/>
          <w:szCs w:val="56"/>
          <w:lang w:val="en-IE"/>
        </w:rPr>
      </w:pPr>
    </w:p>
    <w:p w14:paraId="028A1ABF" w14:textId="77777777" w:rsidR="00A03957" w:rsidRPr="003F3DB0" w:rsidRDefault="00A03957" w:rsidP="00A03957">
      <w:pPr>
        <w:rPr>
          <w:sz w:val="56"/>
          <w:szCs w:val="56"/>
          <w:lang w:val="en-IE"/>
        </w:rPr>
      </w:pPr>
    </w:p>
    <w:p w14:paraId="1E2B2F63" w14:textId="5113E020" w:rsidR="00A03957" w:rsidRPr="003F3DB0" w:rsidRDefault="003F3DB0" w:rsidP="00A03957">
      <w:pPr>
        <w:rPr>
          <w:sz w:val="56"/>
          <w:szCs w:val="56"/>
          <w:lang w:val="en-IE"/>
        </w:rPr>
      </w:pPr>
      <w:r w:rsidRPr="003F3DB0">
        <w:rPr>
          <w:sz w:val="56"/>
          <w:szCs w:val="56"/>
          <w:lang w:val="en-IE"/>
        </w:rPr>
        <w:t>Abbott Global Anticorruption Translation Table 2023</w:t>
      </w:r>
    </w:p>
    <w:p w14:paraId="79BE556D" w14:textId="15E02E30" w:rsidR="00A03957" w:rsidRPr="003F3DB0" w:rsidRDefault="00A03957" w:rsidP="00A03957">
      <w:pPr>
        <w:rPr>
          <w:sz w:val="56"/>
          <w:szCs w:val="56"/>
          <w:lang w:val="en-IE"/>
        </w:rPr>
      </w:pPr>
    </w:p>
    <w:p w14:paraId="54589704" w14:textId="65A65B67" w:rsidR="00A03957" w:rsidRPr="003F3DB0" w:rsidRDefault="00A03957" w:rsidP="00A03957">
      <w:pPr>
        <w:rPr>
          <w:sz w:val="56"/>
          <w:szCs w:val="56"/>
          <w:lang w:val="en-IE"/>
        </w:rPr>
      </w:pPr>
    </w:p>
    <w:p w14:paraId="3A0D6E49" w14:textId="304CC7A1" w:rsidR="00A03957" w:rsidRPr="003F3DB0" w:rsidRDefault="00A03957" w:rsidP="00A03957">
      <w:pPr>
        <w:rPr>
          <w:sz w:val="56"/>
          <w:szCs w:val="56"/>
          <w:lang w:val="en-IE"/>
        </w:rPr>
      </w:pPr>
    </w:p>
    <w:p w14:paraId="0C932E8D" w14:textId="056DA082" w:rsidR="00A03957" w:rsidRPr="003F3DB0" w:rsidRDefault="00A03957" w:rsidP="00A03957">
      <w:pPr>
        <w:rPr>
          <w:sz w:val="56"/>
          <w:szCs w:val="56"/>
          <w:lang w:val="en-IE"/>
        </w:rPr>
      </w:pPr>
    </w:p>
    <w:p w14:paraId="59B34110" w14:textId="4CD3F899" w:rsidR="00A03957" w:rsidRPr="003F3DB0" w:rsidRDefault="00A03957" w:rsidP="00A03957">
      <w:pPr>
        <w:rPr>
          <w:sz w:val="56"/>
          <w:szCs w:val="56"/>
          <w:lang w:val="en-IE"/>
        </w:rPr>
      </w:pPr>
    </w:p>
    <w:p w14:paraId="7AF4F419" w14:textId="22456037" w:rsidR="00A03957" w:rsidRPr="003F3DB0" w:rsidRDefault="00A03957" w:rsidP="00A03957">
      <w:pPr>
        <w:rPr>
          <w:sz w:val="56"/>
          <w:szCs w:val="56"/>
          <w:lang w:val="en-IE"/>
        </w:rPr>
      </w:pPr>
    </w:p>
    <w:p w14:paraId="5A88DEA4" w14:textId="4FD2306A" w:rsidR="00A03957" w:rsidRPr="003F3DB0" w:rsidRDefault="00A03957" w:rsidP="00A03957">
      <w:pPr>
        <w:rPr>
          <w:sz w:val="56"/>
          <w:szCs w:val="56"/>
          <w:lang w:val="en-IE"/>
        </w:rPr>
      </w:pPr>
    </w:p>
    <w:p w14:paraId="4D982F7E" w14:textId="6262DE92" w:rsidR="00A03957" w:rsidRPr="003F3DB0" w:rsidRDefault="00A03957" w:rsidP="00A03957">
      <w:pPr>
        <w:rPr>
          <w:sz w:val="56"/>
          <w:szCs w:val="56"/>
          <w:lang w:val="en-IE"/>
        </w:rPr>
      </w:pPr>
    </w:p>
    <w:p w14:paraId="0601732A" w14:textId="77777777" w:rsidR="00A03957" w:rsidRPr="003F3DB0" w:rsidRDefault="00A03957" w:rsidP="00A03957">
      <w:pPr>
        <w:rPr>
          <w:sz w:val="56"/>
          <w:szCs w:val="56"/>
          <w:lang w:val="en-IE"/>
        </w:rPr>
      </w:pPr>
    </w:p>
    <w:p w14:paraId="1ECBA050" w14:textId="77777777" w:rsidR="00A03957" w:rsidRPr="003F3DB0" w:rsidRDefault="003F3DB0"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3F3DB0">
        <w:rPr>
          <w:rFonts w:ascii="Calibri" w:eastAsia="Times New Roman" w:hAnsi="Calibri" w:cs="Calibri"/>
          <w:b/>
          <w:noProof/>
          <w:color w:val="000000" w:themeColor="text1"/>
          <w:sz w:val="36"/>
          <w:szCs w:val="36"/>
          <w:lang w:val="en-US"/>
        </w:rPr>
        <w:t>INSTRUCTIONS:</w:t>
      </w:r>
    </w:p>
    <w:p w14:paraId="04D1E812" w14:textId="77777777" w:rsidR="00A03957" w:rsidRPr="003F3DB0"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3F3DB0" w:rsidRDefault="003F3DB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F3DB0">
        <w:rPr>
          <w:rFonts w:ascii="Calibri" w:eastAsia="Times New Roman" w:hAnsi="Calibri" w:cs="Calibri"/>
          <w:noProof/>
          <w:color w:val="000000" w:themeColor="text1"/>
          <w:lang w:val="en-US"/>
        </w:rPr>
        <w:t>Please edit the translation in the TARGET column directly.</w:t>
      </w:r>
    </w:p>
    <w:p w14:paraId="10DB0CE6" w14:textId="77777777" w:rsidR="00A03957" w:rsidRPr="003F3DB0" w:rsidRDefault="003F3DB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F3DB0">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3F3DB0" w:rsidRDefault="003F3DB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F3DB0">
        <w:rPr>
          <w:rFonts w:ascii="Calibri" w:eastAsia="Times New Roman" w:hAnsi="Calibri" w:cs="Calibri"/>
          <w:noProof/>
          <w:color w:val="000000" w:themeColor="text1"/>
          <w:lang w:val="en-US"/>
        </w:rPr>
        <w:t>DO NOT alter the ID or SOURCE column text.</w:t>
      </w:r>
    </w:p>
    <w:p w14:paraId="620F3F3A" w14:textId="77777777" w:rsidR="00A03957" w:rsidRPr="003F3DB0" w:rsidRDefault="003F3DB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F3DB0">
        <w:rPr>
          <w:rFonts w:ascii="Calibri" w:eastAsia="Times New Roman" w:hAnsi="Calibri" w:cs="Calibri"/>
          <w:noProof/>
          <w:color w:val="000000" w:themeColor="text1"/>
          <w:lang w:val="en-US"/>
        </w:rPr>
        <w:t>Blank rows should be ignored but not deleted.</w:t>
      </w:r>
    </w:p>
    <w:p w14:paraId="7DF96D62" w14:textId="77777777" w:rsidR="00A03957" w:rsidRPr="003F3DB0" w:rsidRDefault="003F3DB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The following formatting must be maintained throughout:</w:t>
      </w:r>
    </w:p>
    <w:p w14:paraId="64E63638"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 xml:space="preserve">bold </w:t>
      </w:r>
    </w:p>
    <w:p w14:paraId="15E2179B"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italic</w:t>
      </w:r>
    </w:p>
    <w:p w14:paraId="1DB04F61"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underline</w:t>
      </w:r>
    </w:p>
    <w:p w14:paraId="0FE20D50"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links</w:t>
      </w:r>
    </w:p>
    <w:p w14:paraId="6E257E11" w14:textId="77777777" w:rsidR="00A03957" w:rsidRPr="003F3DB0" w:rsidRDefault="003F3DB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F3DB0">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3F3DB0" w:rsidRDefault="003F3DB0" w:rsidP="00A03957">
      <w:pPr>
        <w:numPr>
          <w:ilvl w:val="0"/>
          <w:numId w:val="16"/>
        </w:numPr>
        <w:contextualSpacing/>
        <w:rPr>
          <w:rFonts w:eastAsia="Times New Roman"/>
          <w:szCs w:val="20"/>
          <w:lang w:val="en-US" w:eastAsia="es-ES"/>
        </w:rPr>
      </w:pPr>
      <w:r w:rsidRPr="003F3DB0">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3F3DB0" w:rsidRDefault="00A03957">
      <w:pPr>
        <w:rPr>
          <w:lang w:val="en-US"/>
        </w:rPr>
      </w:pPr>
    </w:p>
    <w:p w14:paraId="08F3675C" w14:textId="7CD0F3CF" w:rsidR="00A03957" w:rsidRPr="003F3DB0" w:rsidRDefault="00A03957">
      <w:pPr>
        <w:rPr>
          <w:lang w:val="en-US"/>
        </w:rPr>
      </w:pPr>
    </w:p>
    <w:p w14:paraId="77263FA9" w14:textId="11653327" w:rsidR="00A03957" w:rsidRPr="003F3DB0" w:rsidRDefault="00A03957">
      <w:pPr>
        <w:rPr>
          <w:lang w:val="en-US"/>
        </w:rPr>
      </w:pPr>
    </w:p>
    <w:p w14:paraId="72682346" w14:textId="201E38E8" w:rsidR="00A03957" w:rsidRPr="003F3DB0" w:rsidRDefault="00A03957">
      <w:pPr>
        <w:rPr>
          <w:lang w:val="en-US"/>
        </w:rPr>
      </w:pPr>
    </w:p>
    <w:p w14:paraId="4279D527" w14:textId="56F30DD6" w:rsidR="00A03957" w:rsidRPr="003F3DB0" w:rsidRDefault="00A03957">
      <w:pPr>
        <w:rPr>
          <w:lang w:val="en-US"/>
        </w:rPr>
      </w:pPr>
    </w:p>
    <w:p w14:paraId="4566AE52" w14:textId="77777777" w:rsidR="00A03957" w:rsidRPr="003F3DB0"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17386E" w:rsidRPr="003F3DB0"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3F3DB0" w:rsidRDefault="003F3DB0">
            <w:pPr>
              <w:spacing w:before="30" w:after="30"/>
              <w:ind w:left="30" w:right="30"/>
            </w:pPr>
            <w:r w:rsidRPr="003F3DB0">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3F3DB0" w:rsidRDefault="003F3DB0">
            <w:pPr>
              <w:pStyle w:val="NormalWeb"/>
              <w:ind w:left="30" w:right="30"/>
              <w:rPr>
                <w:rFonts w:ascii="Calibri" w:hAnsi="Calibri" w:cs="Calibri"/>
                <w:lang w:val="en-IE"/>
              </w:rPr>
            </w:pPr>
            <w:r w:rsidRPr="003F3DB0">
              <w:rPr>
                <w:rFonts w:ascii="Calibri" w:hAnsi="Calibri" w:cs="Calibri"/>
                <w:lang w:val="en-IE"/>
              </w:rPr>
              <w:t>SOURCE</w:t>
            </w:r>
          </w:p>
        </w:tc>
        <w:tc>
          <w:tcPr>
            <w:tcW w:w="6000" w:type="dxa"/>
            <w:shd w:val="clear" w:color="auto" w:fill="F4B083" w:themeFill="accent2" w:themeFillTint="99"/>
          </w:tcPr>
          <w:p w14:paraId="4502D291" w14:textId="472BBE72" w:rsidR="00047E1C" w:rsidRPr="003F3DB0" w:rsidRDefault="003F3DB0">
            <w:pPr>
              <w:pStyle w:val="NormalWeb"/>
              <w:ind w:left="30" w:right="30"/>
              <w:rPr>
                <w:rFonts w:ascii="Calibri" w:hAnsi="Calibri" w:cs="Calibri"/>
                <w:lang w:val="en-IE"/>
              </w:rPr>
            </w:pPr>
            <w:r w:rsidRPr="003F3DB0">
              <w:rPr>
                <w:rFonts w:ascii="Calibri" w:hAnsi="Calibri" w:cs="Calibri"/>
                <w:lang w:val="en-IE"/>
              </w:rPr>
              <w:t>TARGET</w:t>
            </w:r>
          </w:p>
        </w:tc>
      </w:tr>
      <w:tr w:rsidR="0017386E" w:rsidRPr="003F3DB0"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3F3DB0" w:rsidRDefault="00A64CD0" w:rsidP="007806C4">
            <w:pPr>
              <w:spacing w:before="30" w:after="30"/>
              <w:ind w:left="30" w:right="30"/>
              <w:rPr>
                <w:rFonts w:ascii="Calibri" w:eastAsia="Times New Roman" w:hAnsi="Calibri" w:cs="Calibri"/>
                <w:sz w:val="16"/>
              </w:rPr>
            </w:pPr>
            <w:hyperlink r:id="rId5" w:tgtFrame="_blank" w:history="1">
              <w:r w:rsidR="003F3DB0" w:rsidRPr="003F3DB0">
                <w:rPr>
                  <w:rStyle w:val="Hyperlink"/>
                  <w:rFonts w:ascii="Calibri" w:eastAsia="Times New Roman" w:hAnsi="Calibri" w:cs="Calibri"/>
                  <w:sz w:val="16"/>
                </w:rPr>
                <w:t>Screen 0</w:t>
              </w:r>
            </w:hyperlink>
            <w:r w:rsidR="003F3DB0" w:rsidRPr="003F3DB0">
              <w:rPr>
                <w:rFonts w:ascii="Calibri" w:eastAsia="Times New Roman" w:hAnsi="Calibri" w:cs="Calibri"/>
                <w:sz w:val="16"/>
              </w:rPr>
              <w:t xml:space="preserve"> </w:t>
            </w:r>
          </w:p>
          <w:p w14:paraId="62E8E6A9" w14:textId="77777777" w:rsidR="007806C4" w:rsidRPr="003F3DB0" w:rsidRDefault="00A64CD0" w:rsidP="007806C4">
            <w:pPr>
              <w:ind w:left="30" w:right="30"/>
              <w:rPr>
                <w:rFonts w:ascii="Calibri" w:eastAsia="Times New Roman" w:hAnsi="Calibri" w:cs="Calibri"/>
                <w:sz w:val="16"/>
              </w:rPr>
            </w:pPr>
            <w:hyperlink r:id="rId6" w:tgtFrame="_blank" w:history="1">
              <w:r w:rsidR="003F3DB0" w:rsidRPr="003F3DB0">
                <w:rPr>
                  <w:rStyle w:val="Hyperlink"/>
                  <w:rFonts w:ascii="Calibri" w:eastAsia="Times New Roman" w:hAnsi="Calibri" w:cs="Calibri"/>
                  <w:sz w:val="16"/>
                </w:rPr>
                <w:t>1_C_1</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Global Anti-Corruption</w:t>
            </w:r>
          </w:p>
          <w:p w14:paraId="58D3ACE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forward arrow to begin.</w:t>
            </w:r>
          </w:p>
        </w:tc>
        <w:tc>
          <w:tcPr>
            <w:tcW w:w="6000" w:type="dxa"/>
            <w:vAlign w:val="center"/>
          </w:tcPr>
          <w:p w14:paraId="1EC214E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Global antikorrupsjon</w:t>
            </w:r>
          </w:p>
          <w:p w14:paraId="678A2DD8" w14:textId="16A9C874"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fremoverpilen for å starte.</w:t>
            </w:r>
          </w:p>
        </w:tc>
      </w:tr>
      <w:tr w:rsidR="0017386E" w:rsidRPr="003F3DB0"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3F3DB0" w:rsidRDefault="00A64CD0" w:rsidP="007806C4">
            <w:pPr>
              <w:spacing w:before="30" w:after="30"/>
              <w:ind w:left="30" w:right="30"/>
              <w:rPr>
                <w:rFonts w:ascii="Calibri" w:eastAsia="Times New Roman" w:hAnsi="Calibri" w:cs="Calibri"/>
                <w:sz w:val="16"/>
              </w:rPr>
            </w:pPr>
            <w:hyperlink r:id="rId7" w:tgtFrame="_blank" w:history="1">
              <w:r w:rsidR="003F3DB0" w:rsidRPr="003F3DB0">
                <w:rPr>
                  <w:rStyle w:val="Hyperlink"/>
                  <w:rFonts w:ascii="Calibri" w:eastAsia="Times New Roman" w:hAnsi="Calibri" w:cs="Calibri"/>
                  <w:sz w:val="16"/>
                </w:rPr>
                <w:t>Screen 1</w:t>
              </w:r>
            </w:hyperlink>
            <w:r w:rsidR="003F3DB0" w:rsidRPr="003F3DB0">
              <w:rPr>
                <w:rFonts w:ascii="Calibri" w:eastAsia="Times New Roman" w:hAnsi="Calibri" w:cs="Calibri"/>
                <w:sz w:val="16"/>
              </w:rPr>
              <w:t xml:space="preserve"> </w:t>
            </w:r>
          </w:p>
          <w:p w14:paraId="0029B8DF" w14:textId="77777777" w:rsidR="007806C4" w:rsidRPr="003F3DB0" w:rsidRDefault="00A64CD0" w:rsidP="007806C4">
            <w:pPr>
              <w:ind w:left="30" w:right="30"/>
              <w:rPr>
                <w:rFonts w:ascii="Calibri" w:eastAsia="Times New Roman" w:hAnsi="Calibri" w:cs="Calibri"/>
                <w:sz w:val="16"/>
              </w:rPr>
            </w:pPr>
            <w:hyperlink r:id="rId8" w:tgtFrame="_blank" w:history="1">
              <w:r w:rsidR="003F3DB0" w:rsidRPr="003F3DB0">
                <w:rPr>
                  <w:rStyle w:val="Hyperlink"/>
                  <w:rFonts w:ascii="Calibri" w:eastAsia="Times New Roman" w:hAnsi="Calibri" w:cs="Calibri"/>
                  <w:sz w:val="16"/>
                </w:rPr>
                <w:t>2_C_2</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Hos Abbott vet vi at vi alle spiller en svært viktig rolle i å bringe våre livsendrende løsninger rundt om i verden til mennesker som trenger dem.</w:t>
            </w:r>
          </w:p>
          <w:p w14:paraId="13E825BA" w14:textId="49037E1D"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 er vesentlig at vi sikrer at våre samhandlinger er fri for bestikkelser eller korrupsjon, inkludert upassende påvirkning – slik at vi kan holde fokus på hva som er viktig for oss – å hjelpe mennesker med å leve optimale liv gjennom god helse.</w:t>
            </w:r>
          </w:p>
        </w:tc>
      </w:tr>
      <w:tr w:rsidR="0017386E" w:rsidRPr="003F3DB0"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3F3DB0" w:rsidRDefault="00A64CD0" w:rsidP="007806C4">
            <w:pPr>
              <w:spacing w:before="30" w:after="30"/>
              <w:ind w:left="30" w:right="30"/>
              <w:rPr>
                <w:rFonts w:ascii="Calibri" w:eastAsia="Times New Roman" w:hAnsi="Calibri" w:cs="Calibri"/>
                <w:sz w:val="16"/>
              </w:rPr>
            </w:pPr>
            <w:hyperlink r:id="rId9" w:tgtFrame="_blank" w:history="1">
              <w:r w:rsidR="003F3DB0" w:rsidRPr="003F3DB0">
                <w:rPr>
                  <w:rStyle w:val="Hyperlink"/>
                  <w:rFonts w:ascii="Calibri" w:eastAsia="Times New Roman" w:hAnsi="Calibri" w:cs="Calibri"/>
                  <w:sz w:val="16"/>
                </w:rPr>
                <w:t>Screen 3</w:t>
              </w:r>
            </w:hyperlink>
            <w:r w:rsidR="003F3DB0" w:rsidRPr="003F3DB0">
              <w:rPr>
                <w:rFonts w:ascii="Calibri" w:eastAsia="Times New Roman" w:hAnsi="Calibri" w:cs="Calibri"/>
                <w:sz w:val="16"/>
              </w:rPr>
              <w:t xml:space="preserve"> </w:t>
            </w:r>
          </w:p>
          <w:p w14:paraId="65748AB3" w14:textId="77777777" w:rsidR="007806C4" w:rsidRPr="003F3DB0" w:rsidRDefault="00A64CD0" w:rsidP="007806C4">
            <w:pPr>
              <w:ind w:left="30" w:right="30"/>
              <w:rPr>
                <w:rFonts w:ascii="Calibri" w:eastAsia="Times New Roman" w:hAnsi="Calibri" w:cs="Calibri"/>
                <w:sz w:val="16"/>
              </w:rPr>
            </w:pPr>
            <w:hyperlink r:id="rId10" w:tgtFrame="_blank" w:history="1">
              <w:r w:rsidR="003F3DB0" w:rsidRPr="003F3DB0">
                <w:rPr>
                  <w:rStyle w:val="Hyperlink"/>
                  <w:rFonts w:ascii="Calibri" w:eastAsia="Times New Roman" w:hAnsi="Calibri" w:cs="Calibri"/>
                  <w:sz w:val="16"/>
                </w:rPr>
                <w:t>4_C_4</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1 | Recognizing Risks</w:t>
            </w:r>
          </w:p>
          <w:p w14:paraId="0A13AC2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Here you will learn about the risks that acts of bribery and corruption pose to the company.</w:t>
            </w:r>
          </w:p>
          <w:p w14:paraId="2FC108F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10 Minutes</w:t>
            </w:r>
          </w:p>
          <w:p w14:paraId="1B811A8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Section 1 | Recognizing Risks</w:t>
            </w:r>
          </w:p>
          <w:p w14:paraId="42E2CAF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Our Business Transactions</w:t>
            </w:r>
          </w:p>
          <w:p w14:paraId="1191222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Risks in These Transactions</w:t>
            </w:r>
          </w:p>
          <w:p w14:paraId="07D6E88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Consequences of Poor Decision Making</w:t>
            </w:r>
          </w:p>
          <w:p w14:paraId="5AA3B17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54DC69C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2 | Knowing What To Do</w:t>
            </w:r>
          </w:p>
          <w:p w14:paraId="26D252E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Here you will learn how to ensure your interactions remain free from inappropriate influence.</w:t>
            </w:r>
          </w:p>
          <w:p w14:paraId="6DC250E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8 Minutes</w:t>
            </w:r>
          </w:p>
          <w:p w14:paraId="52A7E0C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Section 2 | Knowing What To Do</w:t>
            </w:r>
          </w:p>
          <w:p w14:paraId="0D67FB9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Law and Abbott’s Standards</w:t>
            </w:r>
          </w:p>
          <w:p w14:paraId="692C28B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Your Responsibilities</w:t>
            </w:r>
          </w:p>
          <w:p w14:paraId="5E22282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5F6A504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3 | Doing the Right Thing</w:t>
            </w:r>
          </w:p>
          <w:p w14:paraId="0C97A3C5"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Here you will learn how to successfully navigate your way through business transactions, avoiding the risk of bribery and corruption.</w:t>
            </w:r>
          </w:p>
          <w:p w14:paraId="3072717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6 Minutes</w:t>
            </w:r>
          </w:p>
          <w:p w14:paraId="3177C53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Section 3 | Doing the Right Thing</w:t>
            </w:r>
          </w:p>
          <w:p w14:paraId="5AD5806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Setting Clear Expectations</w:t>
            </w:r>
          </w:p>
          <w:p w14:paraId="4BACF7A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Knowing How to Say “No”</w:t>
            </w:r>
          </w:p>
          <w:p w14:paraId="45A630B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Making the Right Choice</w:t>
            </w:r>
          </w:p>
          <w:p w14:paraId="13A6BA6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Where to Go for Support</w:t>
            </w:r>
          </w:p>
          <w:p w14:paraId="7E4A2C4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7E9098D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4 | Knowledge Check</w:t>
            </w:r>
          </w:p>
          <w:p w14:paraId="0C44919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Assess your understanding of the key concepts and principles of this course.</w:t>
            </w:r>
          </w:p>
          <w:p w14:paraId="3D919F0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5 Minutes</w:t>
            </w:r>
          </w:p>
          <w:p w14:paraId="168E953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Section 4 | Knowledge Check</w:t>
            </w:r>
          </w:p>
          <w:p w14:paraId="76FFA90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Assessment</w:t>
            </w:r>
          </w:p>
          <w:p w14:paraId="4905A03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panel to get started.</w:t>
            </w:r>
          </w:p>
          <w:p w14:paraId="77E0D3F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yellow play button to begin.</w:t>
            </w:r>
          </w:p>
          <w:p w14:paraId="0730B77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This content is not yet available. You must complete Section{a} {b}.</w:t>
            </w:r>
          </w:p>
        </w:tc>
        <w:tc>
          <w:tcPr>
            <w:tcW w:w="6000" w:type="dxa"/>
            <w:vAlign w:val="center"/>
          </w:tcPr>
          <w:p w14:paraId="2609ED8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1 | Identifisere risiko</w:t>
            </w:r>
          </w:p>
          <w:p w14:paraId="65E97F4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Her vil du lære om risikoene som bestikkelses- og korrupsjonshandlinger utgjør for selskapet.</w:t>
            </w:r>
          </w:p>
          <w:p w14:paraId="49C5761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10 minutter</w:t>
            </w:r>
          </w:p>
          <w:p w14:paraId="3750A81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Del 1 | Identifisere risiko</w:t>
            </w:r>
          </w:p>
          <w:p w14:paraId="2C4CB892"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Våre forretningstransaksjoner</w:t>
            </w:r>
          </w:p>
          <w:p w14:paraId="1651807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Risikoene i disse transaksjonene</w:t>
            </w:r>
          </w:p>
          <w:p w14:paraId="4FB9733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Konsekvensene av dårlig beslutningstaking</w:t>
            </w:r>
          </w:p>
          <w:p w14:paraId="18863B6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70A2D01D"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2 | Vite hva man skal gjøre</w:t>
            </w:r>
          </w:p>
          <w:p w14:paraId="3116CA9E"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Her vil du lære hvordan du sikrer at samhandlingene dine forblir uten upassende påvirkning.</w:t>
            </w:r>
          </w:p>
          <w:p w14:paraId="5267E06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8 minutter</w:t>
            </w:r>
          </w:p>
          <w:p w14:paraId="76186A1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Del 2 | Vite hva man skal gjøre</w:t>
            </w:r>
          </w:p>
          <w:p w14:paraId="21AAE7A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Loven og Abbotts prinsipper</w:t>
            </w:r>
          </w:p>
          <w:p w14:paraId="348679F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Ditt ansvar</w:t>
            </w:r>
          </w:p>
          <w:p w14:paraId="2600DED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0A71416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3 | Gjøre det riktige</w:t>
            </w:r>
          </w:p>
          <w:p w14:paraId="35E71D2E"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Her vil du lære hvordan du vellykket navigerer deg gjennom forretningstransaksjoner, og unngår risikoen for bestikkelse og korrupsjon.</w:t>
            </w:r>
          </w:p>
          <w:p w14:paraId="7E5744D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6 minutter</w:t>
            </w:r>
          </w:p>
          <w:p w14:paraId="74F9428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Del 3 | Gjøre det riktige</w:t>
            </w:r>
          </w:p>
          <w:p w14:paraId="197AEFA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Sette klare forventninger</w:t>
            </w:r>
          </w:p>
          <w:p w14:paraId="1C4941E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Vite hvordan man sier «nei»</w:t>
            </w:r>
          </w:p>
          <w:p w14:paraId="4170DE2E"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Foreta riktig valg</w:t>
            </w:r>
          </w:p>
          <w:p w14:paraId="2208603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Hvor å ta kontakt for støtte</w:t>
            </w:r>
          </w:p>
          <w:p w14:paraId="365F8E6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0AE69AED"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4 | Kunnskapssjekk</w:t>
            </w:r>
          </w:p>
          <w:p w14:paraId="4BD22E9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Vurder din forståelse av nøkkelkonsepter og -prinsipper i dette kurset.</w:t>
            </w:r>
          </w:p>
          <w:p w14:paraId="5952556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5 minutter</w:t>
            </w:r>
          </w:p>
          <w:p w14:paraId="46A36EF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Del 4 | Kunnskapssjekk</w:t>
            </w:r>
          </w:p>
          <w:p w14:paraId="06E4E10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Vurdering</w:t>
            </w:r>
          </w:p>
          <w:p w14:paraId="159AC26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panelet for å komme i gang.</w:t>
            </w:r>
          </w:p>
          <w:p w14:paraId="6D21E8D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den gule spill av-knappen for å starte.</w:t>
            </w:r>
          </w:p>
          <w:p w14:paraId="0AA91ED3" w14:textId="48EDD1F3"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Dette innholdet er ikke tilgjengelig ennå. Du må fullføre del {a} {b}.</w:t>
            </w:r>
          </w:p>
        </w:tc>
      </w:tr>
      <w:tr w:rsidR="0017386E" w:rsidRPr="003F3DB0"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3F3DB0" w:rsidRDefault="00A64CD0" w:rsidP="007806C4">
            <w:pPr>
              <w:spacing w:before="30" w:after="30"/>
              <w:ind w:left="30" w:right="30"/>
              <w:rPr>
                <w:rFonts w:ascii="Calibri" w:eastAsia="Times New Roman" w:hAnsi="Calibri" w:cs="Calibri"/>
                <w:sz w:val="16"/>
              </w:rPr>
            </w:pPr>
            <w:hyperlink r:id="rId11" w:tgtFrame="_blank" w:history="1">
              <w:r w:rsidR="003F3DB0" w:rsidRPr="003F3DB0">
                <w:rPr>
                  <w:rStyle w:val="Hyperlink"/>
                  <w:rFonts w:ascii="Calibri" w:eastAsia="Times New Roman" w:hAnsi="Calibri" w:cs="Calibri"/>
                  <w:sz w:val="16"/>
                </w:rPr>
                <w:t>Screen 6</w:t>
              </w:r>
            </w:hyperlink>
            <w:r w:rsidR="003F3DB0" w:rsidRPr="003F3DB0">
              <w:rPr>
                <w:rFonts w:ascii="Calibri" w:eastAsia="Times New Roman" w:hAnsi="Calibri" w:cs="Calibri"/>
                <w:sz w:val="16"/>
              </w:rPr>
              <w:t xml:space="preserve"> </w:t>
            </w:r>
          </w:p>
          <w:p w14:paraId="3F27C3FE" w14:textId="77777777" w:rsidR="007806C4" w:rsidRPr="003F3DB0" w:rsidRDefault="00A64CD0" w:rsidP="007806C4">
            <w:pPr>
              <w:ind w:left="30" w:right="30"/>
              <w:rPr>
                <w:rFonts w:ascii="Calibri" w:eastAsia="Times New Roman" w:hAnsi="Calibri" w:cs="Calibri"/>
                <w:sz w:val="16"/>
              </w:rPr>
            </w:pPr>
            <w:hyperlink r:id="rId12" w:tgtFrame="_blank" w:history="1">
              <w:r w:rsidR="003F3DB0" w:rsidRPr="003F3DB0">
                <w:rPr>
                  <w:rStyle w:val="Hyperlink"/>
                  <w:rFonts w:ascii="Calibri" w:eastAsia="Times New Roman" w:hAnsi="Calibri" w:cs="Calibri"/>
                  <w:sz w:val="16"/>
                </w:rPr>
                <w:t>7_C_11</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Disse transaksjonene, når gjennomført av riktig grunn, og i samsvar med gjeldende lover og Abbotts policy, vil komme personene som bruker produktene til gode.</w:t>
            </w:r>
          </w:p>
          <w:p w14:paraId="18CC7029" w14:textId="11B61655"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Noen transaksjoner er kanskje ikke tillatt i landet ditt. Påse at du sjekker med retningslinjer og prosedyrer ved ditt lokale Kontor for etikk og samsvar (OEC) for veiledning.</w:t>
            </w:r>
          </w:p>
        </w:tc>
      </w:tr>
      <w:tr w:rsidR="0017386E" w:rsidRPr="003F3DB0"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3F3DB0" w:rsidRDefault="00A64CD0" w:rsidP="007806C4">
            <w:pPr>
              <w:spacing w:before="30" w:after="30"/>
              <w:ind w:left="30" w:right="30"/>
              <w:rPr>
                <w:rFonts w:ascii="Calibri" w:eastAsia="Times New Roman" w:hAnsi="Calibri" w:cs="Calibri"/>
                <w:sz w:val="16"/>
              </w:rPr>
            </w:pPr>
            <w:hyperlink r:id="rId13" w:tgtFrame="_blank" w:history="1">
              <w:r w:rsidR="003F3DB0" w:rsidRPr="003F3DB0">
                <w:rPr>
                  <w:rStyle w:val="Hyperlink"/>
                  <w:rFonts w:ascii="Calibri" w:eastAsia="Times New Roman" w:hAnsi="Calibri" w:cs="Calibri"/>
                  <w:sz w:val="16"/>
                </w:rPr>
                <w:t>Screen 7</w:t>
              </w:r>
            </w:hyperlink>
            <w:r w:rsidR="003F3DB0" w:rsidRPr="003F3DB0">
              <w:rPr>
                <w:rFonts w:ascii="Calibri" w:eastAsia="Times New Roman" w:hAnsi="Calibri" w:cs="Calibri"/>
                <w:sz w:val="16"/>
              </w:rPr>
              <w:t xml:space="preserve"> </w:t>
            </w:r>
          </w:p>
          <w:p w14:paraId="133D000A" w14:textId="77777777" w:rsidR="007806C4" w:rsidRPr="003F3DB0" w:rsidRDefault="00A64CD0" w:rsidP="007806C4">
            <w:pPr>
              <w:ind w:left="30" w:right="30"/>
              <w:rPr>
                <w:rFonts w:ascii="Calibri" w:eastAsia="Times New Roman" w:hAnsi="Calibri" w:cs="Calibri"/>
                <w:sz w:val="16"/>
              </w:rPr>
            </w:pPr>
            <w:hyperlink r:id="rId14" w:tgtFrame="_blank" w:history="1">
              <w:r w:rsidR="003F3DB0" w:rsidRPr="003F3DB0">
                <w:rPr>
                  <w:rStyle w:val="Hyperlink"/>
                  <w:rFonts w:ascii="Calibri" w:eastAsia="Times New Roman" w:hAnsi="Calibri" w:cs="Calibri"/>
                  <w:sz w:val="16"/>
                </w:rPr>
                <w:t>8_C_12</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La oss nå ta en titt på risikoer som vanlige forretningstransaksjoner utgjør dersom de utføres på feil måte.</w:t>
            </w:r>
          </w:p>
        </w:tc>
      </w:tr>
      <w:tr w:rsidR="0017386E" w:rsidRPr="003F3DB0"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3F3DB0" w:rsidRDefault="00A64CD0" w:rsidP="007806C4">
            <w:pPr>
              <w:spacing w:before="30" w:after="30"/>
              <w:ind w:left="30" w:right="30"/>
              <w:rPr>
                <w:rFonts w:ascii="Calibri" w:eastAsia="Times New Roman" w:hAnsi="Calibri" w:cs="Calibri"/>
                <w:sz w:val="16"/>
              </w:rPr>
            </w:pPr>
            <w:hyperlink r:id="rId15" w:tgtFrame="_blank" w:history="1">
              <w:r w:rsidR="003F3DB0" w:rsidRPr="003F3DB0">
                <w:rPr>
                  <w:rStyle w:val="Hyperlink"/>
                  <w:rFonts w:ascii="Calibri" w:eastAsia="Times New Roman" w:hAnsi="Calibri" w:cs="Calibri"/>
                  <w:sz w:val="16"/>
                </w:rPr>
                <w:t>Screen 8</w:t>
              </w:r>
            </w:hyperlink>
            <w:r w:rsidR="003F3DB0" w:rsidRPr="003F3DB0">
              <w:rPr>
                <w:rFonts w:ascii="Calibri" w:eastAsia="Times New Roman" w:hAnsi="Calibri" w:cs="Calibri"/>
                <w:sz w:val="16"/>
              </w:rPr>
              <w:t xml:space="preserve"> </w:t>
            </w:r>
          </w:p>
          <w:p w14:paraId="3A78A4D8" w14:textId="77777777" w:rsidR="007806C4" w:rsidRPr="003F3DB0" w:rsidRDefault="00A64CD0" w:rsidP="007806C4">
            <w:pPr>
              <w:ind w:left="30" w:right="30"/>
              <w:rPr>
                <w:rFonts w:ascii="Calibri" w:eastAsia="Times New Roman" w:hAnsi="Calibri" w:cs="Calibri"/>
                <w:sz w:val="16"/>
              </w:rPr>
            </w:pPr>
            <w:hyperlink r:id="rId16" w:tgtFrame="_blank" w:history="1">
              <w:r w:rsidR="003F3DB0" w:rsidRPr="003F3DB0">
                <w:rPr>
                  <w:rStyle w:val="Hyperlink"/>
                  <w:rFonts w:ascii="Calibri" w:eastAsia="Times New Roman" w:hAnsi="Calibri" w:cs="Calibri"/>
                  <w:sz w:val="16"/>
                </w:rPr>
                <w:t>9_C_13</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Bestikkelse og korrupsjon oppstår når vi tilbyr, lover, gir eller mottar noe av verdi for personlig vinning eller for å urettmessig påvirke forretninger.</w:t>
            </w:r>
          </w:p>
          <w:p w14:paraId="08E5BF02" w14:textId="338A96DB"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Med andre ord, når vi handler for personlig vinning eller for å urettmessig påvirke forretningssamarbeid, i stedet for i Abbotts beste juridiske og etiske interesse, endrer det forutsetningene for transaksjonen. Det som først var en vanlig forretningstransaksjon er nå blitt en bestikkelse og korrupsjon.</w:t>
            </w:r>
          </w:p>
        </w:tc>
      </w:tr>
      <w:tr w:rsidR="0017386E" w:rsidRPr="003F3DB0"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3F3DB0" w:rsidRDefault="00A64CD0" w:rsidP="007806C4">
            <w:pPr>
              <w:spacing w:before="30" w:after="30"/>
              <w:ind w:left="30" w:right="30"/>
              <w:rPr>
                <w:rFonts w:ascii="Calibri" w:eastAsia="Times New Roman" w:hAnsi="Calibri" w:cs="Calibri"/>
                <w:sz w:val="16"/>
              </w:rPr>
            </w:pPr>
            <w:hyperlink r:id="rId17" w:tgtFrame="_blank" w:history="1">
              <w:r w:rsidR="003F3DB0" w:rsidRPr="003F3DB0">
                <w:rPr>
                  <w:rStyle w:val="Hyperlink"/>
                  <w:rFonts w:ascii="Calibri" w:eastAsia="Times New Roman" w:hAnsi="Calibri" w:cs="Calibri"/>
                  <w:sz w:val="16"/>
                </w:rPr>
                <w:t>Screen 9</w:t>
              </w:r>
            </w:hyperlink>
            <w:r w:rsidR="003F3DB0" w:rsidRPr="003F3DB0">
              <w:rPr>
                <w:rFonts w:ascii="Calibri" w:eastAsia="Times New Roman" w:hAnsi="Calibri" w:cs="Calibri"/>
                <w:sz w:val="16"/>
              </w:rPr>
              <w:t xml:space="preserve"> </w:t>
            </w:r>
          </w:p>
          <w:p w14:paraId="3AB2CB46" w14:textId="77777777" w:rsidR="007806C4" w:rsidRPr="003F3DB0" w:rsidRDefault="00A64CD0" w:rsidP="007806C4">
            <w:pPr>
              <w:ind w:left="30" w:right="30"/>
              <w:rPr>
                <w:rFonts w:ascii="Calibri" w:eastAsia="Times New Roman" w:hAnsi="Calibri" w:cs="Calibri"/>
                <w:sz w:val="16"/>
              </w:rPr>
            </w:pPr>
            <w:hyperlink r:id="rId18" w:tgtFrame="_blank" w:history="1">
              <w:r w:rsidR="003F3DB0" w:rsidRPr="003F3DB0">
                <w:rPr>
                  <w:rStyle w:val="Hyperlink"/>
                  <w:rFonts w:ascii="Calibri" w:eastAsia="Times New Roman" w:hAnsi="Calibri" w:cs="Calibri"/>
                  <w:sz w:val="16"/>
                </w:rPr>
                <w:t>10_C_20</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perception that we may be engaged in acts of bribery and corruption pose similar risks as actual acts of bribery and corruption.</w:t>
            </w:r>
          </w:p>
          <w:p w14:paraId="735A96A4" w14:textId="7890CEB5"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Therefore, we must ensure that we never give or receive items of value for the purpose of gaining an inappropriate business advantage, and that we never </w:t>
            </w:r>
            <w:r w:rsidRPr="003F3DB0">
              <w:rPr>
                <w:rStyle w:val="bold1"/>
                <w:rFonts w:ascii="Calibri" w:hAnsi="Calibri" w:cs="Calibri"/>
                <w:lang w:val="en-IE"/>
              </w:rPr>
              <w:t>appear</w:t>
            </w:r>
            <w:r w:rsidRPr="003F3DB0">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Oppfatningen om at vi kan medvirke til bestikkelser og korrupsjon utgjør tilsvarende risiko som faktiske bestikkelser og korrupsjon.</w:t>
            </w:r>
          </w:p>
          <w:p w14:paraId="7867513B" w14:textId="721F1CB1"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Derfor må vi sikre at vi ikke gir eller mottar gjenstander av verdi i den hensikt å oppnå et konkurransefortrinn, og at vi aldri </w:t>
            </w:r>
            <w:r w:rsidRPr="003F3DB0">
              <w:rPr>
                <w:rFonts w:ascii="Calibri" w:eastAsia="Calibri" w:hAnsi="Calibri" w:cs="Calibri"/>
                <w:b/>
                <w:bCs/>
                <w:lang w:val="nb-NO"/>
              </w:rPr>
              <w:t>oppfattes</w:t>
            </w:r>
            <w:r w:rsidRPr="003F3DB0">
              <w:rPr>
                <w:rFonts w:ascii="Calibri" w:eastAsia="Calibri" w:hAnsi="Calibri" w:cs="Calibri"/>
                <w:lang w:val="nb-NO"/>
              </w:rPr>
              <w:t xml:space="preserve"> som å gi eller motta gjenstander av verdi i den hensikt å oppnå et urettmessig konkurransefortrinn.</w:t>
            </w:r>
          </w:p>
        </w:tc>
      </w:tr>
      <w:tr w:rsidR="0017386E" w:rsidRPr="003F3DB0"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3F3DB0" w:rsidRDefault="00A64CD0" w:rsidP="007806C4">
            <w:pPr>
              <w:spacing w:before="30" w:after="30"/>
              <w:ind w:left="30" w:right="30"/>
              <w:rPr>
                <w:rFonts w:ascii="Calibri" w:eastAsia="Times New Roman" w:hAnsi="Calibri" w:cs="Calibri"/>
                <w:sz w:val="16"/>
              </w:rPr>
            </w:pPr>
            <w:hyperlink r:id="rId19" w:tgtFrame="_blank" w:history="1">
              <w:r w:rsidR="003F3DB0" w:rsidRPr="003F3DB0">
                <w:rPr>
                  <w:rStyle w:val="Hyperlink"/>
                  <w:rFonts w:ascii="Calibri" w:eastAsia="Times New Roman" w:hAnsi="Calibri" w:cs="Calibri"/>
                  <w:sz w:val="16"/>
                </w:rPr>
                <w:t>Screen 18</w:t>
              </w:r>
            </w:hyperlink>
            <w:r w:rsidR="003F3DB0" w:rsidRPr="003F3DB0">
              <w:rPr>
                <w:rFonts w:ascii="Calibri" w:eastAsia="Times New Roman" w:hAnsi="Calibri" w:cs="Calibri"/>
                <w:sz w:val="16"/>
              </w:rPr>
              <w:t xml:space="preserve"> </w:t>
            </w:r>
          </w:p>
          <w:p w14:paraId="21AC6E33" w14:textId="77777777" w:rsidR="007806C4" w:rsidRPr="003F3DB0" w:rsidRDefault="00A64CD0" w:rsidP="007806C4">
            <w:pPr>
              <w:ind w:left="30" w:right="30"/>
              <w:rPr>
                <w:rFonts w:ascii="Calibri" w:eastAsia="Times New Roman" w:hAnsi="Calibri" w:cs="Calibri"/>
                <w:sz w:val="16"/>
              </w:rPr>
            </w:pPr>
            <w:hyperlink r:id="rId20" w:tgtFrame="_blank" w:history="1">
              <w:r w:rsidR="003F3DB0" w:rsidRPr="003F3DB0">
                <w:rPr>
                  <w:rStyle w:val="Hyperlink"/>
                  <w:rFonts w:ascii="Calibri" w:eastAsia="Times New Roman" w:hAnsi="Calibri" w:cs="Calibri"/>
                  <w:sz w:val="16"/>
                </w:rPr>
                <w:t>19_C_23</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Hos Abbott forventer vi at tredjepartene vi samarbeider med overholder alle gjeldende lokale og internasjonale lover og forskrifter for bestikkelser og antikorrupsjon.</w:t>
            </w:r>
          </w:p>
          <w:p w14:paraId="4CC38D3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Tilsynsmyndigheter har holdt produsenter ansvarlige for tredjeparters handlinger og forventer at Abbott utfører bakgrunnssjekker, eller selskapsgjennomganger, på tredjepartene som handler på deres vegne.</w:t>
            </w:r>
          </w:p>
          <w:p w14:paraId="6B7B0995" w14:textId="050E9231"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 driver i mange land globalt, og disse landene har lover som forbyr bestikkelse og korrupsjon. Enkelte lover for bestikkelse og korrupsjon, som for eksempel USAs Foreign Corrupt Practices Act (FCPA), er internasjonale i omfang, dvs. de gjelder overalt og for alle, dvs. ikke bare for Abbott-medarbeidere, men for alle som driver forretninger med, for eller på vegne av Abbott.</w:t>
            </w:r>
          </w:p>
        </w:tc>
      </w:tr>
      <w:tr w:rsidR="0017386E" w:rsidRPr="003F3DB0"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3F3DB0" w:rsidRDefault="00A64CD0" w:rsidP="007806C4">
            <w:pPr>
              <w:spacing w:before="30" w:after="30"/>
              <w:ind w:left="30" w:right="30"/>
              <w:rPr>
                <w:rFonts w:ascii="Calibri" w:eastAsia="Times New Roman" w:hAnsi="Calibri" w:cs="Calibri"/>
                <w:sz w:val="16"/>
              </w:rPr>
            </w:pPr>
            <w:hyperlink r:id="rId21" w:tgtFrame="_blank" w:history="1">
              <w:r w:rsidR="003F3DB0" w:rsidRPr="003F3DB0">
                <w:rPr>
                  <w:rStyle w:val="Hyperlink"/>
                  <w:rFonts w:ascii="Calibri" w:eastAsia="Times New Roman" w:hAnsi="Calibri" w:cs="Calibri"/>
                  <w:sz w:val="16"/>
                </w:rPr>
                <w:t>Screen 19</w:t>
              </w:r>
            </w:hyperlink>
            <w:r w:rsidR="003F3DB0" w:rsidRPr="003F3DB0">
              <w:rPr>
                <w:rFonts w:ascii="Calibri" w:eastAsia="Times New Roman" w:hAnsi="Calibri" w:cs="Calibri"/>
                <w:sz w:val="16"/>
              </w:rPr>
              <w:t xml:space="preserve"> </w:t>
            </w:r>
          </w:p>
          <w:p w14:paraId="7ABEFBE4" w14:textId="77777777" w:rsidR="007806C4" w:rsidRPr="003F3DB0" w:rsidRDefault="00A64CD0" w:rsidP="007806C4">
            <w:pPr>
              <w:ind w:left="30" w:right="30"/>
              <w:rPr>
                <w:rFonts w:ascii="Calibri" w:eastAsia="Times New Roman" w:hAnsi="Calibri" w:cs="Calibri"/>
                <w:sz w:val="16"/>
              </w:rPr>
            </w:pPr>
            <w:hyperlink r:id="rId22" w:tgtFrame="_blank" w:history="1">
              <w:r w:rsidR="003F3DB0" w:rsidRPr="003F3DB0">
                <w:rPr>
                  <w:rStyle w:val="Hyperlink"/>
                  <w:rFonts w:ascii="Calibri" w:eastAsia="Times New Roman" w:hAnsi="Calibri" w:cs="Calibri"/>
                  <w:sz w:val="16"/>
                </w:rPr>
                <w:t>20_C_24</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 has a strong risk-based Third-Party Compliance program that includes:</w:t>
            </w:r>
          </w:p>
          <w:p w14:paraId="1EEEC100"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rPr>
            </w:pPr>
            <w:r w:rsidRPr="003F3DB0">
              <w:rPr>
                <w:rFonts w:ascii="Calibri" w:eastAsia="Times New Roman" w:hAnsi="Calibri" w:cs="Calibri"/>
              </w:rPr>
              <w:t>Clear Third-Party guidelines</w:t>
            </w:r>
          </w:p>
          <w:p w14:paraId="486EEDC6"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Third Party risk assessment and monitoring</w:t>
            </w:r>
          </w:p>
          <w:p w14:paraId="62A4976D"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rPr>
            </w:pPr>
            <w:r w:rsidRPr="003F3DB0">
              <w:rPr>
                <w:rFonts w:ascii="Calibri" w:eastAsia="Times New Roman" w:hAnsi="Calibri" w:cs="Calibri"/>
              </w:rPr>
              <w:t>Third Party e-learning</w:t>
            </w:r>
          </w:p>
          <w:p w14:paraId="5F5209E9"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Third Party audits performed by Corporate Audit</w:t>
            </w:r>
          </w:p>
          <w:p w14:paraId="69531D43"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A robust due-diligence screening process (3PP), including red flag remediation</w:t>
            </w:r>
          </w:p>
          <w:p w14:paraId="3496899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 har et sterkt risikobasert samsvarsprogram for tredjeparter som omfatter:</w:t>
            </w:r>
          </w:p>
          <w:p w14:paraId="125620D0"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rPr>
            </w:pPr>
            <w:r w:rsidRPr="003F3DB0">
              <w:rPr>
                <w:rFonts w:ascii="Calibri" w:eastAsia="Calibri" w:hAnsi="Calibri" w:cs="Calibri"/>
                <w:lang w:val="nb-NO"/>
              </w:rPr>
              <w:t>Klare retningslinjer for tredjeparter</w:t>
            </w:r>
          </w:p>
          <w:p w14:paraId="0D35955F"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Risikovurdering og overvåking av tredjeparter</w:t>
            </w:r>
          </w:p>
          <w:p w14:paraId="5BB00DC4"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rPr>
            </w:pPr>
            <w:r w:rsidRPr="003F3DB0">
              <w:rPr>
                <w:rFonts w:ascii="Calibri" w:eastAsia="Calibri" w:hAnsi="Calibri" w:cs="Calibri"/>
                <w:lang w:val="nb-NO"/>
              </w:rPr>
              <w:t>e-læring for tredjeparter</w:t>
            </w:r>
          </w:p>
          <w:p w14:paraId="0C0CF126"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Revisjoner av tredjeparter utført av bedriftens revisjonsavdeling</w:t>
            </w:r>
          </w:p>
          <w:p w14:paraId="678BE338" w14:textId="77777777" w:rsidR="007806C4" w:rsidRPr="003F3DB0" w:rsidRDefault="003F3DB0" w:rsidP="007806C4">
            <w:pPr>
              <w:numPr>
                <w:ilvl w:val="0"/>
                <w:numId w:val="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En solid screeningprosess for selskapsgjennomgang (3PP), inkludert utbedring av røde flagg</w:t>
            </w:r>
          </w:p>
          <w:p w14:paraId="7C98BFD2"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Tredjepartsprosessen (3PP) er en globalt integrert, risikobasert selskapsgjennomgang utformet for å proaktivt identifisere og bidra til å styre tredjepartsrisikoer, mens den sikrer at tjenester utført på Abbotts vegne eller med Abbotts støtte utføres i samsvar med våre forventninger og følger gjeldende lover og forskrifter.</w:t>
            </w:r>
          </w:p>
          <w:p w14:paraId="23AC3A64" w14:textId="0B03CB63"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Vennligst referer til Ressurs-delen i dette kurset for lenker til flere ressurser om tredjeparter og overholdelse, inkludert 3PP.</w:t>
            </w:r>
          </w:p>
        </w:tc>
      </w:tr>
      <w:tr w:rsidR="0017386E" w:rsidRPr="003F3DB0"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3F3DB0" w:rsidRDefault="00A64CD0" w:rsidP="007806C4">
            <w:pPr>
              <w:spacing w:before="30" w:after="30"/>
              <w:ind w:left="30" w:right="30"/>
              <w:rPr>
                <w:rFonts w:ascii="Calibri" w:eastAsia="Times New Roman" w:hAnsi="Calibri" w:cs="Calibri"/>
                <w:sz w:val="16"/>
              </w:rPr>
            </w:pPr>
            <w:hyperlink r:id="rId23" w:tgtFrame="_blank" w:history="1">
              <w:r w:rsidR="003F3DB0" w:rsidRPr="003F3DB0">
                <w:rPr>
                  <w:rStyle w:val="Hyperlink"/>
                  <w:rFonts w:ascii="Calibri" w:eastAsia="Times New Roman" w:hAnsi="Calibri" w:cs="Calibri"/>
                  <w:sz w:val="16"/>
                </w:rPr>
                <w:t>Screen 20</w:t>
              </w:r>
            </w:hyperlink>
            <w:r w:rsidR="003F3DB0" w:rsidRPr="003F3DB0">
              <w:rPr>
                <w:rFonts w:ascii="Calibri" w:eastAsia="Times New Roman" w:hAnsi="Calibri" w:cs="Calibri"/>
                <w:sz w:val="16"/>
              </w:rPr>
              <w:t xml:space="preserve"> </w:t>
            </w:r>
          </w:p>
          <w:p w14:paraId="7CEE598C" w14:textId="77777777" w:rsidR="007806C4" w:rsidRPr="003F3DB0" w:rsidRDefault="00A64CD0" w:rsidP="007806C4">
            <w:pPr>
              <w:ind w:left="30" w:right="30"/>
              <w:rPr>
                <w:rFonts w:ascii="Calibri" w:eastAsia="Times New Roman" w:hAnsi="Calibri" w:cs="Calibri"/>
                <w:sz w:val="16"/>
              </w:rPr>
            </w:pPr>
            <w:hyperlink r:id="rId24" w:tgtFrame="_blank" w:history="1">
              <w:r w:rsidR="003F3DB0" w:rsidRPr="003F3DB0">
                <w:rPr>
                  <w:rStyle w:val="Hyperlink"/>
                  <w:rFonts w:ascii="Calibri" w:eastAsia="Times New Roman" w:hAnsi="Calibri" w:cs="Calibri"/>
                  <w:sz w:val="16"/>
                </w:rPr>
                <w:t>22_C_25</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Keep an eye out for red flags, including:</w:t>
            </w:r>
          </w:p>
        </w:tc>
        <w:tc>
          <w:tcPr>
            <w:tcW w:w="6000" w:type="dxa"/>
            <w:vAlign w:val="center"/>
          </w:tcPr>
          <w:p w14:paraId="396C2C88" w14:textId="2B9E3E40"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Hold øynene åpne for røde flagg, inkludert:</w:t>
            </w:r>
          </w:p>
        </w:tc>
      </w:tr>
      <w:tr w:rsidR="0017386E" w:rsidRPr="003F3DB0"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3F3DB0" w:rsidRDefault="00A64CD0" w:rsidP="007806C4">
            <w:pPr>
              <w:spacing w:before="30" w:after="30"/>
              <w:ind w:left="30" w:right="30"/>
              <w:rPr>
                <w:rFonts w:ascii="Calibri" w:eastAsia="Times New Roman" w:hAnsi="Calibri" w:cs="Calibri"/>
                <w:sz w:val="16"/>
              </w:rPr>
            </w:pPr>
            <w:hyperlink r:id="rId25" w:tgtFrame="_blank" w:history="1">
              <w:r w:rsidR="003F3DB0" w:rsidRPr="003F3DB0">
                <w:rPr>
                  <w:rStyle w:val="Hyperlink"/>
                  <w:rFonts w:ascii="Calibri" w:eastAsia="Times New Roman" w:hAnsi="Calibri" w:cs="Calibri"/>
                  <w:sz w:val="16"/>
                </w:rPr>
                <w:t>Screen 20</w:t>
              </w:r>
            </w:hyperlink>
            <w:r w:rsidR="003F3DB0" w:rsidRPr="003F3DB0">
              <w:rPr>
                <w:rFonts w:ascii="Calibri" w:eastAsia="Times New Roman" w:hAnsi="Calibri" w:cs="Calibri"/>
                <w:sz w:val="16"/>
              </w:rPr>
              <w:t xml:space="preserve"> </w:t>
            </w:r>
          </w:p>
          <w:p w14:paraId="48E146C6" w14:textId="77777777" w:rsidR="007806C4" w:rsidRPr="003F3DB0" w:rsidRDefault="00A64CD0" w:rsidP="007806C4">
            <w:pPr>
              <w:ind w:left="30" w:right="30"/>
              <w:rPr>
                <w:rFonts w:ascii="Calibri" w:eastAsia="Times New Roman" w:hAnsi="Calibri" w:cs="Calibri"/>
                <w:sz w:val="16"/>
              </w:rPr>
            </w:pPr>
            <w:hyperlink r:id="rId26" w:tgtFrame="_blank" w:history="1">
              <w:r w:rsidR="003F3DB0" w:rsidRPr="003F3DB0">
                <w:rPr>
                  <w:rStyle w:val="Hyperlink"/>
                  <w:rFonts w:ascii="Calibri" w:eastAsia="Times New Roman" w:hAnsi="Calibri" w:cs="Calibri"/>
                  <w:sz w:val="16"/>
                </w:rPr>
                <w:t>23_C_25</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3F3DB0" w:rsidRDefault="003F3DB0" w:rsidP="007806C4">
            <w:pPr>
              <w:pStyle w:val="NormalWeb"/>
              <w:ind w:left="30" w:right="30"/>
              <w:rPr>
                <w:rFonts w:ascii="Calibri" w:eastAsia="Times New Roman" w:hAnsi="Calibri" w:cs="Calibri"/>
                <w:lang w:val="en-IE"/>
              </w:rPr>
            </w:pPr>
            <w:r w:rsidRPr="003F3DB0">
              <w:rPr>
                <w:rFonts w:ascii="Calibri" w:hAnsi="Calibri" w:cs="Calibri"/>
                <w:lang w:val="en-IE"/>
              </w:rPr>
              <w:t>Ask follow-up questions, including:</w:t>
            </w:r>
          </w:p>
        </w:tc>
        <w:tc>
          <w:tcPr>
            <w:tcW w:w="6000" w:type="dxa"/>
            <w:vAlign w:val="center"/>
          </w:tcPr>
          <w:p w14:paraId="2BA2DA11" w14:textId="70C6FA4F"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Still oppfølgingsspørsmål, inkludert:</w:t>
            </w:r>
          </w:p>
        </w:tc>
      </w:tr>
      <w:tr w:rsidR="0017386E" w:rsidRPr="003F3DB0"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3F3DB0" w:rsidRDefault="00A64CD0" w:rsidP="007806C4">
            <w:pPr>
              <w:spacing w:before="30" w:after="30"/>
              <w:ind w:left="30" w:right="30"/>
              <w:rPr>
                <w:rFonts w:ascii="Calibri" w:eastAsia="Times New Roman" w:hAnsi="Calibri" w:cs="Calibri"/>
                <w:sz w:val="16"/>
              </w:rPr>
            </w:pPr>
            <w:hyperlink r:id="rId27" w:tgtFrame="_blank" w:history="1">
              <w:r w:rsidR="003F3DB0" w:rsidRPr="003F3DB0">
                <w:rPr>
                  <w:rStyle w:val="Hyperlink"/>
                  <w:rFonts w:ascii="Calibri" w:eastAsia="Times New Roman" w:hAnsi="Calibri" w:cs="Calibri"/>
                  <w:sz w:val="16"/>
                </w:rPr>
                <w:t>Screen 21</w:t>
              </w:r>
            </w:hyperlink>
            <w:r w:rsidR="003F3DB0" w:rsidRPr="003F3DB0">
              <w:rPr>
                <w:rFonts w:ascii="Calibri" w:eastAsia="Times New Roman" w:hAnsi="Calibri" w:cs="Calibri"/>
                <w:sz w:val="16"/>
              </w:rPr>
              <w:t xml:space="preserve"> </w:t>
            </w:r>
          </w:p>
          <w:p w14:paraId="49EB8B1B" w14:textId="77777777" w:rsidR="007806C4" w:rsidRPr="003F3DB0" w:rsidRDefault="00A64CD0" w:rsidP="007806C4">
            <w:pPr>
              <w:ind w:left="30" w:right="30"/>
              <w:rPr>
                <w:rFonts w:ascii="Calibri" w:eastAsia="Times New Roman" w:hAnsi="Calibri" w:cs="Calibri"/>
                <w:sz w:val="16"/>
              </w:rPr>
            </w:pPr>
            <w:hyperlink r:id="rId28" w:tgtFrame="_blank" w:history="1">
              <w:r w:rsidR="003F3DB0" w:rsidRPr="003F3DB0">
                <w:rPr>
                  <w:rStyle w:val="Hyperlink"/>
                  <w:rFonts w:ascii="Calibri" w:eastAsia="Times New Roman" w:hAnsi="Calibri" w:cs="Calibri"/>
                  <w:sz w:val="16"/>
                </w:rPr>
                <w:t>25_C_25b</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Finally, it may be tempting, particularly in the case of third parties, but also colleagues and other business partners, to rationalize </w:t>
            </w:r>
            <w:proofErr w:type="spellStart"/>
            <w:r w:rsidRPr="003F3DB0">
              <w:rPr>
                <w:rFonts w:ascii="Calibri" w:hAnsi="Calibri" w:cs="Calibri"/>
                <w:lang w:val="en-IE"/>
              </w:rPr>
              <w:t>behavior</w:t>
            </w:r>
            <w:proofErr w:type="spellEnd"/>
            <w:r w:rsidRPr="003F3DB0">
              <w:rPr>
                <w:rFonts w:ascii="Calibri" w:hAnsi="Calibri" w:cs="Calibri"/>
                <w:lang w:val="en-IE"/>
              </w:rPr>
              <w:t>.</w:t>
            </w:r>
          </w:p>
          <w:p w14:paraId="15E490D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Til slutt kan det være fristende, spesielt i forbindelse med tredjeparter, men også når det gjelder kollegaer og andre forretningspartnere, å bortforklare atferd.</w:t>
            </w:r>
          </w:p>
          <w:p w14:paraId="1975524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 eksempel kan vi bortforklare at en partner opptrer på en viss måte fordi vedkommende kjenner den lokale kulturen bedre enn oss, eller vi godtar en kollegas bortforklaring om at vi ikke har tid til behørig aktsomhet.</w:t>
            </w:r>
          </w:p>
          <w:p w14:paraId="248D6CCE" w14:textId="44E35FA4"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Bare husk at Abbotts forbud mot korrupsjon også gjelder for tredjepartene vi driver forretninger med, og at håndhevende myndigheter vil forsøke å holde Abbott ansvarlig for sin atferd.</w:t>
            </w:r>
          </w:p>
        </w:tc>
      </w:tr>
      <w:tr w:rsidR="0017386E" w:rsidRPr="003F3DB0"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3F3DB0" w:rsidRDefault="00A64CD0" w:rsidP="007806C4">
            <w:pPr>
              <w:spacing w:before="30" w:after="30"/>
              <w:ind w:left="30" w:right="30"/>
              <w:rPr>
                <w:rFonts w:ascii="Calibri" w:eastAsia="Times New Roman" w:hAnsi="Calibri" w:cs="Calibri"/>
                <w:sz w:val="16"/>
              </w:rPr>
            </w:pPr>
            <w:hyperlink r:id="rId29" w:tgtFrame="_blank" w:history="1">
              <w:r w:rsidR="003F3DB0" w:rsidRPr="003F3DB0">
                <w:rPr>
                  <w:rStyle w:val="Hyperlink"/>
                  <w:rFonts w:ascii="Calibri" w:eastAsia="Times New Roman" w:hAnsi="Calibri" w:cs="Calibri"/>
                  <w:sz w:val="16"/>
                </w:rPr>
                <w:t>Screen 24</w:t>
              </w:r>
            </w:hyperlink>
            <w:r w:rsidR="003F3DB0" w:rsidRPr="003F3DB0">
              <w:rPr>
                <w:rFonts w:ascii="Calibri" w:eastAsia="Times New Roman" w:hAnsi="Calibri" w:cs="Calibri"/>
                <w:sz w:val="16"/>
              </w:rPr>
              <w:t xml:space="preserve"> </w:t>
            </w:r>
          </w:p>
          <w:p w14:paraId="4302ADB0" w14:textId="77777777" w:rsidR="007806C4" w:rsidRPr="003F3DB0" w:rsidRDefault="00A64CD0" w:rsidP="007806C4">
            <w:pPr>
              <w:ind w:left="30" w:right="30"/>
              <w:rPr>
                <w:rFonts w:ascii="Calibri" w:eastAsia="Times New Roman" w:hAnsi="Calibri" w:cs="Calibri"/>
                <w:sz w:val="16"/>
              </w:rPr>
            </w:pPr>
            <w:hyperlink r:id="rId30" w:tgtFrame="_blank" w:history="1">
              <w:r w:rsidR="003F3DB0" w:rsidRPr="003F3DB0">
                <w:rPr>
                  <w:rStyle w:val="Hyperlink"/>
                  <w:rFonts w:ascii="Calibri" w:eastAsia="Times New Roman" w:hAnsi="Calibri" w:cs="Calibri"/>
                  <w:sz w:val="16"/>
                </w:rPr>
                <w:t>28_C_29</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Fines and settlements for bribery and corruption – and the cost of investigating and remediating – can be severe.</w:t>
            </w:r>
          </w:p>
          <w:p w14:paraId="7479B08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DOWN ARROW TO SEE SOME RECENT EXAMPLES OF HEALTHCARE COMPANIES INVESTIGATED AND PROSECUTED FOR CORRUPT PRACTICES.</w:t>
            </w:r>
          </w:p>
          <w:p w14:paraId="7B76F04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NOVARTIS</w:t>
            </w:r>
          </w:p>
          <w:p w14:paraId="1CEDCD8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NOVARTIS AG</w:t>
            </w:r>
          </w:p>
          <w:p w14:paraId="69F1C0B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In 2020, The global pharmaceutical and healthcare company, Novartis AG, and its former Alcon subsidiary agreed to pay a combined total of more than </w:t>
            </w:r>
            <w:r w:rsidRPr="003F3DB0">
              <w:rPr>
                <w:rStyle w:val="bold1"/>
                <w:rFonts w:ascii="Calibri" w:hAnsi="Calibri" w:cs="Calibri"/>
                <w:lang w:val="en-IE"/>
              </w:rPr>
              <w:t>$233 million</w:t>
            </w:r>
            <w:r w:rsidRPr="003F3DB0">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Source </w:t>
            </w:r>
            <w:hyperlink r:id="rId31" w:tgtFrame="_blank" w:history="1">
              <w:r w:rsidRPr="003F3DB0">
                <w:rPr>
                  <w:rStyle w:val="Hyperlink"/>
                  <w:rFonts w:ascii="Calibri" w:hAnsi="Calibri" w:cs="Calibri"/>
                  <w:lang w:val="en-IE"/>
                </w:rPr>
                <w:t>www.justice.gov</w:t>
              </w:r>
            </w:hyperlink>
          </w:p>
          <w:p w14:paraId="708B44A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ALEXION PHARMACEUTICALS</w:t>
            </w:r>
          </w:p>
          <w:p w14:paraId="29D6C5E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ALEXION PHARMACEUTICALS</w:t>
            </w:r>
          </w:p>
          <w:p w14:paraId="2F7381D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In 2020, Alexion Pharmaceuticals Inc. agreed to pay more than </w:t>
            </w:r>
            <w:r w:rsidRPr="003F3DB0">
              <w:rPr>
                <w:rStyle w:val="bold1"/>
                <w:rFonts w:ascii="Calibri" w:hAnsi="Calibri" w:cs="Calibri"/>
                <w:lang w:val="en-IE"/>
              </w:rPr>
              <w:t>$21 million</w:t>
            </w:r>
            <w:r w:rsidRPr="003F3DB0">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w:t>
            </w:r>
            <w:proofErr w:type="spellStart"/>
            <w:r w:rsidRPr="003F3DB0">
              <w:rPr>
                <w:rFonts w:ascii="Calibri" w:hAnsi="Calibri" w:cs="Calibri"/>
                <w:lang w:val="en-IE"/>
              </w:rPr>
              <w:t>favorable</w:t>
            </w:r>
            <w:proofErr w:type="spellEnd"/>
            <w:r w:rsidRPr="003F3DB0">
              <w:rPr>
                <w:rFonts w:ascii="Calibri" w:hAnsi="Calibri" w:cs="Calibri"/>
                <w:lang w:val="en-IE"/>
              </w:rPr>
              <w:t xml:space="preserve"> treatment.</w:t>
            </w:r>
          </w:p>
          <w:p w14:paraId="7D48FB2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Source </w:t>
            </w:r>
            <w:hyperlink r:id="rId32" w:tgtFrame="_blank" w:history="1">
              <w:r w:rsidRPr="003F3DB0">
                <w:rPr>
                  <w:rStyle w:val="Hyperlink"/>
                  <w:rFonts w:ascii="Calibri" w:hAnsi="Calibri" w:cs="Calibri"/>
                  <w:lang w:val="en-IE"/>
                </w:rPr>
                <w:t>www.justice.gov</w:t>
              </w:r>
            </w:hyperlink>
          </w:p>
          <w:p w14:paraId="73D8168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FRESENIUS MEDICAL CARE (FMC)</w:t>
            </w:r>
          </w:p>
          <w:p w14:paraId="43E43F2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FRESENIUS MEDICAL CARE (FMC)</w:t>
            </w:r>
          </w:p>
          <w:p w14:paraId="2656E75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In 2019, FMC, a provider of dialysis equipment and services, paid U.S. </w:t>
            </w:r>
            <w:r w:rsidRPr="003F3DB0">
              <w:rPr>
                <w:rStyle w:val="bold1"/>
                <w:rFonts w:ascii="Calibri" w:hAnsi="Calibri" w:cs="Calibri"/>
                <w:lang w:val="en-IE"/>
              </w:rPr>
              <w:t>$231 million</w:t>
            </w:r>
            <w:r w:rsidRPr="003F3DB0">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3F3DB0" w:rsidRDefault="003F3DB0" w:rsidP="007806C4">
            <w:pPr>
              <w:pStyle w:val="NormalWeb"/>
              <w:ind w:left="30" w:right="30"/>
              <w:rPr>
                <w:rFonts w:ascii="Calibri" w:hAnsi="Calibri" w:cs="Calibri"/>
              </w:rPr>
            </w:pPr>
            <w:r w:rsidRPr="003F3DB0">
              <w:rPr>
                <w:rFonts w:ascii="Calibri" w:hAnsi="Calibri" w:cs="Calibri"/>
              </w:rPr>
              <w:t xml:space="preserve">Source </w:t>
            </w:r>
            <w:hyperlink r:id="rId33" w:tgtFrame="_blank" w:history="1">
              <w:r w:rsidRPr="003F3DB0">
                <w:rPr>
                  <w:rStyle w:val="Hyperlink"/>
                  <w:rFonts w:ascii="Calibri" w:hAnsi="Calibri" w:cs="Calibri"/>
                </w:rPr>
                <w:t>www.justice.gov</w:t>
              </w:r>
            </w:hyperlink>
          </w:p>
        </w:tc>
        <w:tc>
          <w:tcPr>
            <w:tcW w:w="6000" w:type="dxa"/>
            <w:vAlign w:val="center"/>
          </w:tcPr>
          <w:p w14:paraId="61D8E03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Bøter og forlik for bestikkelser og korrupsjon – og kostnadene for etterforskning og restitusjon – kan være alvorlige.</w:t>
            </w:r>
          </w:p>
          <w:p w14:paraId="581F267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NEDOVERPILEN FOR Å SE NOEN NYLIGE EKSEMPLER PÅ SELSKAPER I HELSESEKTOREN SOM BLE ETTERFORSKET OG RETTSLIG FORFULGT FOR KORRUPT PRAKSIS.</w:t>
            </w:r>
          </w:p>
          <w:p w14:paraId="3E13F78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NOVARTIS</w:t>
            </w:r>
          </w:p>
          <w:p w14:paraId="1F0AD9E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NOVARTIS AG</w:t>
            </w:r>
          </w:p>
          <w:p w14:paraId="7E55EB5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I 2020 godtok det globale farmasøytiske og helsesektorselskapet Novartis AG og deres tidligere Alcon-datterselskap å betale en samlet totalsum på mer enn </w:t>
            </w:r>
            <w:r w:rsidRPr="003F3DB0">
              <w:rPr>
                <w:rFonts w:ascii="Calibri" w:eastAsia="Calibri" w:hAnsi="Calibri" w:cs="Calibri"/>
                <w:b/>
                <w:bCs/>
                <w:lang w:val="nb-NO"/>
              </w:rPr>
              <w:t>$ 233 millioner</w:t>
            </w:r>
            <w:r w:rsidRPr="003F3DB0">
              <w:rPr>
                <w:rFonts w:ascii="Calibri" w:eastAsia="Calibri" w:hAnsi="Calibri" w:cs="Calibri"/>
                <w:lang w:val="nb-NO"/>
              </w:rPr>
              <w:t xml:space="preserve"> i kriminelle monetære bøter for å løse departementets etterforskning av brudd på FCPA som oppstod fra atferd i flere jurisdiksjoner. Resolusjonen oppstod fra en plan om å bestikke ansatte og å falskt registrere upassende betalinger og tilsvarende atferd.</w:t>
            </w:r>
          </w:p>
          <w:p w14:paraId="4132A846"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Kilde </w:t>
            </w:r>
            <w:hyperlink r:id="rId34" w:tgtFrame="_blank" w:history="1">
              <w:r w:rsidRPr="003F3DB0">
                <w:rPr>
                  <w:rFonts w:ascii="Calibri" w:eastAsia="Calibri" w:hAnsi="Calibri" w:cs="Calibri"/>
                  <w:color w:val="0000FF"/>
                  <w:u w:val="single"/>
                  <w:lang w:val="nb-NO"/>
                </w:rPr>
                <w:t>www.justice.gov</w:t>
              </w:r>
            </w:hyperlink>
          </w:p>
          <w:p w14:paraId="4F6E517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ALEXION PHARMACEUTICALS</w:t>
            </w:r>
          </w:p>
          <w:p w14:paraId="5638C38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ALEXION PHARMACEUTICALS</w:t>
            </w:r>
          </w:p>
          <w:p w14:paraId="5AB22F2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I 2020 godtok Alexion Pharmaceuticals Inc. å betale mer enn </w:t>
            </w:r>
            <w:r w:rsidRPr="003F3DB0">
              <w:rPr>
                <w:rFonts w:ascii="Calibri" w:eastAsia="Calibri" w:hAnsi="Calibri" w:cs="Calibri"/>
                <w:b/>
                <w:bCs/>
                <w:lang w:val="nb-NO"/>
              </w:rPr>
              <w:t>$ 21 millioner</w:t>
            </w:r>
            <w:r w:rsidRPr="003F3DB0">
              <w:rPr>
                <w:rFonts w:ascii="Calibri" w:eastAsia="Calibri" w:hAnsi="Calibri" w:cs="Calibri"/>
                <w:lang w:val="nb-NO"/>
              </w:rPr>
              <w:t xml:space="preserve"> for å løse anklager om at de brøt bestemmelsene for regnskap og registre og interne regnskapskontroller i FCPA. To Alexion-datterselskaper utførte angivelig betalinger til utenlandske offentlige tjenestemenn for å sikre fordelaktig behandling.</w:t>
            </w:r>
          </w:p>
          <w:p w14:paraId="00C85AA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Kilde </w:t>
            </w:r>
            <w:hyperlink r:id="rId35" w:tgtFrame="_blank" w:history="1">
              <w:r w:rsidRPr="003F3DB0">
                <w:rPr>
                  <w:rFonts w:ascii="Calibri" w:eastAsia="Calibri" w:hAnsi="Calibri" w:cs="Calibri"/>
                  <w:color w:val="0000FF"/>
                  <w:u w:val="single"/>
                  <w:lang w:val="nb-NO"/>
                </w:rPr>
                <w:t>www.justice.gov</w:t>
              </w:r>
            </w:hyperlink>
          </w:p>
          <w:p w14:paraId="214A0D2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FRESENIUS MEDICAL CARE (FMC)</w:t>
            </w:r>
          </w:p>
          <w:p w14:paraId="30E6BD1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FRESENIUS MEDICAL CARE (FMC)</w:t>
            </w:r>
          </w:p>
          <w:p w14:paraId="1EF1551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I 2019 betalte FMC, en leverandør av dialyseutstyr og -tjenester, </w:t>
            </w:r>
            <w:r w:rsidRPr="003F3DB0">
              <w:rPr>
                <w:rFonts w:ascii="Calibri" w:eastAsia="Calibri" w:hAnsi="Calibri" w:cs="Calibri"/>
                <w:b/>
                <w:bCs/>
                <w:lang w:val="nb-NO"/>
              </w:rPr>
              <w:t>$ 231 millioner</w:t>
            </w:r>
            <w:r w:rsidRPr="003F3DB0">
              <w:rPr>
                <w:rFonts w:ascii="Calibri" w:eastAsia="Calibri" w:hAnsi="Calibri" w:cs="Calibri"/>
                <w:lang w:val="nb-NO"/>
              </w:rPr>
              <w:t xml:space="preserve"> for å gjøre opp for etterforskninger knyttet til brudd på FCPA i minst 17 land. FMC-ansatte gav nesten $ 30 millioner i bestikkelser til offentlige tjenestemenn og andre for å få et konkurransefortrinn i helsetjenesteindustrien, noe som resulterte i en fortjeneste på over $ 140 millioner. Urettmessige utbetalinger ble gjort gjennom en rekke ordninger, blant annet ved hjelp av falske konsulentkontrakter, forfalskede dokumenter og bestikkelser gjennom et system av tredjeparts mellommenn.</w:t>
            </w:r>
          </w:p>
          <w:p w14:paraId="0AC0BFE6" w14:textId="2B593B5D"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 xml:space="preserve">Kilde </w:t>
            </w:r>
            <w:hyperlink r:id="rId36" w:tgtFrame="_blank" w:history="1">
              <w:r w:rsidRPr="003F3DB0">
                <w:rPr>
                  <w:rFonts w:ascii="Calibri" w:eastAsia="Calibri" w:hAnsi="Calibri" w:cs="Calibri"/>
                  <w:color w:val="0000FF"/>
                  <w:u w:val="single"/>
                  <w:lang w:val="nb-NO"/>
                </w:rPr>
                <w:t>www.justice.gov</w:t>
              </w:r>
            </w:hyperlink>
          </w:p>
        </w:tc>
      </w:tr>
      <w:tr w:rsidR="0017386E" w:rsidRPr="003F3DB0"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3F3DB0" w:rsidRDefault="00A64CD0" w:rsidP="007806C4">
            <w:pPr>
              <w:spacing w:before="30" w:after="30"/>
              <w:ind w:left="30" w:right="30"/>
              <w:rPr>
                <w:rFonts w:ascii="Calibri" w:eastAsia="Times New Roman" w:hAnsi="Calibri" w:cs="Calibri"/>
                <w:sz w:val="16"/>
              </w:rPr>
            </w:pPr>
            <w:hyperlink r:id="rId37" w:tgtFrame="_blank" w:history="1">
              <w:r w:rsidR="003F3DB0" w:rsidRPr="003F3DB0">
                <w:rPr>
                  <w:rStyle w:val="Hyperlink"/>
                  <w:rFonts w:ascii="Calibri" w:eastAsia="Times New Roman" w:hAnsi="Calibri" w:cs="Calibri"/>
                  <w:sz w:val="16"/>
                </w:rPr>
                <w:t>Screen 26</w:t>
              </w:r>
            </w:hyperlink>
            <w:r w:rsidR="003F3DB0" w:rsidRPr="003F3DB0">
              <w:rPr>
                <w:rFonts w:ascii="Calibri" w:eastAsia="Times New Roman" w:hAnsi="Calibri" w:cs="Calibri"/>
                <w:sz w:val="16"/>
              </w:rPr>
              <w:t xml:space="preserve"> </w:t>
            </w:r>
          </w:p>
          <w:p w14:paraId="7ACFBDEA" w14:textId="77777777" w:rsidR="007806C4" w:rsidRPr="003F3DB0" w:rsidRDefault="00A64CD0" w:rsidP="007806C4">
            <w:pPr>
              <w:ind w:left="30" w:right="30"/>
              <w:rPr>
                <w:rFonts w:ascii="Calibri" w:eastAsia="Times New Roman" w:hAnsi="Calibri" w:cs="Calibri"/>
                <w:sz w:val="16"/>
              </w:rPr>
            </w:pPr>
            <w:hyperlink r:id="rId38" w:tgtFrame="_blank" w:history="1">
              <w:r w:rsidR="003F3DB0" w:rsidRPr="003F3DB0">
                <w:rPr>
                  <w:rStyle w:val="Hyperlink"/>
                  <w:rFonts w:ascii="Calibri" w:eastAsia="Times New Roman" w:hAnsi="Calibri" w:cs="Calibri"/>
                  <w:sz w:val="16"/>
                </w:rPr>
                <w:t>30_C_31</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3F3DB0" w:rsidRDefault="003F3DB0" w:rsidP="007806C4">
            <w:pPr>
              <w:pStyle w:val="NormalWeb"/>
              <w:ind w:left="30" w:right="30"/>
              <w:rPr>
                <w:rFonts w:ascii="Calibri" w:hAnsi="Calibri" w:cs="Calibri"/>
              </w:rPr>
            </w:pPr>
            <w:proofErr w:type="spellStart"/>
            <w:r w:rsidRPr="003F3DB0">
              <w:rPr>
                <w:rFonts w:ascii="Calibri" w:hAnsi="Calibri" w:cs="Calibri"/>
              </w:rPr>
              <w:t>Source</w:t>
            </w:r>
            <w:proofErr w:type="spellEnd"/>
            <w:r w:rsidRPr="003F3DB0">
              <w:rPr>
                <w:rFonts w:ascii="Calibri" w:hAnsi="Calibri" w:cs="Calibri"/>
              </w:rPr>
              <w:t xml:space="preserve"> </w:t>
            </w:r>
            <w:hyperlink r:id="rId39" w:tgtFrame="_blank" w:history="1">
              <w:r w:rsidRPr="003F3DB0">
                <w:rPr>
                  <w:rStyle w:val="Hyperlink"/>
                  <w:rFonts w:ascii="Calibri" w:hAnsi="Calibri" w:cs="Calibri"/>
                </w:rPr>
                <w:t>www.sec.gov</w:t>
              </w:r>
            </w:hyperlink>
          </w:p>
        </w:tc>
        <w:tc>
          <w:tcPr>
            <w:tcW w:w="6000" w:type="dxa"/>
            <w:vAlign w:val="center"/>
          </w:tcPr>
          <w:p w14:paraId="4A481AD3" w14:textId="19473A3D"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 xml:space="preserve">Kilde </w:t>
            </w:r>
            <w:hyperlink r:id="rId40" w:tgtFrame="_blank" w:history="1">
              <w:r w:rsidRPr="003F3DB0">
                <w:rPr>
                  <w:rFonts w:ascii="Calibri" w:eastAsia="Calibri" w:hAnsi="Calibri" w:cs="Calibri"/>
                  <w:color w:val="0000FF"/>
                  <w:u w:val="single"/>
                  <w:lang w:val="nb-NO"/>
                </w:rPr>
                <w:t>www.sec.gov</w:t>
              </w:r>
            </w:hyperlink>
          </w:p>
        </w:tc>
      </w:tr>
      <w:tr w:rsidR="0017386E" w:rsidRPr="003F3DB0"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3F3DB0" w:rsidRDefault="00A64CD0" w:rsidP="007806C4">
            <w:pPr>
              <w:spacing w:before="30" w:after="30"/>
              <w:ind w:left="30" w:right="30"/>
              <w:rPr>
                <w:rFonts w:ascii="Calibri" w:eastAsia="Times New Roman" w:hAnsi="Calibri" w:cs="Calibri"/>
                <w:sz w:val="16"/>
              </w:rPr>
            </w:pPr>
            <w:hyperlink r:id="rId41" w:tgtFrame="_blank" w:history="1">
              <w:r w:rsidR="003F3DB0" w:rsidRPr="003F3DB0">
                <w:rPr>
                  <w:rStyle w:val="Hyperlink"/>
                  <w:rFonts w:ascii="Calibri" w:eastAsia="Times New Roman" w:hAnsi="Calibri" w:cs="Calibri"/>
                  <w:sz w:val="16"/>
                </w:rPr>
                <w:t>Screen 27</w:t>
              </w:r>
            </w:hyperlink>
            <w:r w:rsidR="003F3DB0" w:rsidRPr="003F3DB0">
              <w:rPr>
                <w:rFonts w:ascii="Calibri" w:eastAsia="Times New Roman" w:hAnsi="Calibri" w:cs="Calibri"/>
                <w:sz w:val="16"/>
              </w:rPr>
              <w:t xml:space="preserve"> </w:t>
            </w:r>
          </w:p>
          <w:p w14:paraId="4AFAD6BF" w14:textId="77777777" w:rsidR="007806C4" w:rsidRPr="003F3DB0" w:rsidRDefault="00A64CD0" w:rsidP="007806C4">
            <w:pPr>
              <w:ind w:left="30" w:right="30"/>
              <w:rPr>
                <w:rFonts w:ascii="Calibri" w:eastAsia="Times New Roman" w:hAnsi="Calibri" w:cs="Calibri"/>
                <w:sz w:val="16"/>
              </w:rPr>
            </w:pPr>
            <w:hyperlink r:id="rId42" w:tgtFrame="_blank" w:history="1">
              <w:r w:rsidR="003F3DB0" w:rsidRPr="003F3DB0">
                <w:rPr>
                  <w:rStyle w:val="Hyperlink"/>
                  <w:rFonts w:ascii="Calibri" w:eastAsia="Times New Roman" w:hAnsi="Calibri" w:cs="Calibri"/>
                  <w:sz w:val="16"/>
                </w:rPr>
                <w:t>31_C_32</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arrow to begin your review.</w:t>
            </w:r>
          </w:p>
          <w:p w14:paraId="5D0EDB15"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1DF7961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Take a moment to review some of the key concepts in this section.</w:t>
            </w:r>
          </w:p>
          <w:p w14:paraId="3E46961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BUSINESS TRANSACTIONS</w:t>
            </w:r>
          </w:p>
          <w:p w14:paraId="34F831F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BRIBERY AND CORRUPTION</w:t>
            </w:r>
          </w:p>
          <w:p w14:paraId="20D7B64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APPEARANCE</w:t>
            </w:r>
          </w:p>
          <w:p w14:paraId="6B5E01B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perception that we may be engaged in acts of bribery and corruption pose similar risks as actual acts of bribery and corruption.</w:t>
            </w:r>
          </w:p>
          <w:p w14:paraId="1074CB6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COMPLIANCE OF THIRD PARTIES</w:t>
            </w:r>
          </w:p>
          <w:p w14:paraId="6BAC2D6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ABBOTT’S THIRD PARTY PROCESS</w:t>
            </w:r>
          </w:p>
          <w:p w14:paraId="7DAAEC9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 has established a Third-Party Process (3PP) to identify, address, and prevent potential risks associated with third parties.</w:t>
            </w:r>
          </w:p>
          <w:p w14:paraId="2144193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REMAINING VIGILANT</w:t>
            </w:r>
          </w:p>
          <w:p w14:paraId="4C87B58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CONSEQUENCES OF BRIBERY AND CORRUPTION</w:t>
            </w:r>
          </w:p>
          <w:p w14:paraId="3AA245D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To check your progress, click the Menu button.</w:t>
            </w:r>
          </w:p>
          <w:p w14:paraId="608E10B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 have completed section 1 of 4</w:t>
            </w:r>
          </w:p>
          <w:p w14:paraId="45239871"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forward arrow to continue learning</w:t>
            </w:r>
          </w:p>
        </w:tc>
        <w:tc>
          <w:tcPr>
            <w:tcW w:w="6000" w:type="dxa"/>
            <w:vAlign w:val="center"/>
          </w:tcPr>
          <w:p w14:paraId="5C91F10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pilen for å starte gjennomgangen din.</w:t>
            </w:r>
          </w:p>
          <w:p w14:paraId="65D8072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2B97132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Ta et øyeblikk til å gjennomgå noen av nøkkelkonseptene i denne delen.</w:t>
            </w:r>
          </w:p>
          <w:p w14:paraId="5DC56FB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FORRETNINGSTRANSAKSJONER</w:t>
            </w:r>
          </w:p>
          <w:p w14:paraId="7A5AB48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Når gjennomført av riktig grunn, og i samsvar med gjeldende lover og Abbotts retningslinjer, vil våre forretningstransaksjoner komme personene som bruker produktene våre til gode.</w:t>
            </w:r>
          </w:p>
          <w:p w14:paraId="04CDDB4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BESTIKKELSE OG KORRUPSJON</w:t>
            </w:r>
          </w:p>
          <w:p w14:paraId="6862A42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Bestikkelse og korrupsjon oppstår når vi tilbyr, lover, gir eller mottar noe av verdi for personlig vinning eller for å urettmessig påvirke forretninger.</w:t>
            </w:r>
          </w:p>
          <w:p w14:paraId="2B3FAF0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INNTRYKK</w:t>
            </w:r>
          </w:p>
          <w:p w14:paraId="452A70FD"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Oppfatningen om at vi kan medvirke til bestikkelser og korrupsjon utgjør tilsvarende risiko som faktiske bestikkelser og korrupsjon.</w:t>
            </w:r>
          </w:p>
          <w:p w14:paraId="083D84C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TREDJEPARTERS OVERHOLDELSE</w:t>
            </w:r>
          </w:p>
          <w:p w14:paraId="3B1AE11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Vår forventning er at tredjepartene vi samarbeider med overholder alle gjeldende lokale og internasjonale lover og forskrifter for bestikkelser og antikorrupsjon.</w:t>
            </w:r>
          </w:p>
          <w:p w14:paraId="113913C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ABBOTTS TREDJEPARTSPROSESS</w:t>
            </w:r>
          </w:p>
          <w:p w14:paraId="55B99C6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 har etablert en tredjepartsprosess (3PP), for å identifisere, håndtere og forhindre potensiell risiko forbundet med tredjeparter.</w:t>
            </w:r>
          </w:p>
          <w:p w14:paraId="4CB10736"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VÆRE ÅRVÅKNE</w:t>
            </w:r>
          </w:p>
          <w:p w14:paraId="3E6E718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Vi har alle et ansvar for å være årvåkne etter eventuelle røde flagg eller varseltegn som indikerer at våre partnere er engasjert i korrupsjon.</w:t>
            </w:r>
          </w:p>
          <w:p w14:paraId="2E05B90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KONSEKVENSER FRA BESTIKKELSE OG KORRUPSJON</w:t>
            </w:r>
          </w:p>
          <w:p w14:paraId="2C9941B4"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Konsekvensene for bedrifter og enkeltpersoner som er involvert i bestikkelse og korrupsjon kan omfatte offentlige granskinger, bøter, sivile og strafferettslige sanksjoner, og ekskludering fra offentlige anbud og deltakelse i offentlige programmer.</w:t>
            </w:r>
          </w:p>
          <w:p w14:paraId="0E7A544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Meny-knappen for å sjekke fremgangen din.</w:t>
            </w:r>
          </w:p>
          <w:p w14:paraId="0600295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Du har fullført del 1 av 4</w:t>
            </w:r>
          </w:p>
          <w:p w14:paraId="09612461" w14:textId="4F3EF0FB"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framover-pilen for å fortsette å lære</w:t>
            </w:r>
          </w:p>
        </w:tc>
      </w:tr>
      <w:tr w:rsidR="0017386E" w:rsidRPr="003F3DB0"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3F3DB0" w:rsidRDefault="00A64CD0" w:rsidP="007806C4">
            <w:pPr>
              <w:spacing w:before="30" w:after="30"/>
              <w:ind w:left="30" w:right="30"/>
              <w:rPr>
                <w:rFonts w:ascii="Calibri" w:eastAsia="Times New Roman" w:hAnsi="Calibri" w:cs="Calibri"/>
                <w:sz w:val="16"/>
              </w:rPr>
            </w:pPr>
            <w:hyperlink r:id="rId43" w:tgtFrame="_blank" w:history="1">
              <w:r w:rsidR="003F3DB0" w:rsidRPr="003F3DB0">
                <w:rPr>
                  <w:rStyle w:val="Hyperlink"/>
                  <w:rFonts w:ascii="Calibri" w:eastAsia="Times New Roman" w:hAnsi="Calibri" w:cs="Calibri"/>
                  <w:sz w:val="16"/>
                </w:rPr>
                <w:t>Screen 29</w:t>
              </w:r>
            </w:hyperlink>
            <w:r w:rsidR="003F3DB0" w:rsidRPr="003F3DB0">
              <w:rPr>
                <w:rFonts w:ascii="Calibri" w:eastAsia="Times New Roman" w:hAnsi="Calibri" w:cs="Calibri"/>
                <w:sz w:val="16"/>
              </w:rPr>
              <w:t xml:space="preserve"> </w:t>
            </w:r>
          </w:p>
          <w:p w14:paraId="55867057" w14:textId="77777777" w:rsidR="007806C4" w:rsidRPr="003F3DB0" w:rsidRDefault="00A64CD0" w:rsidP="007806C4">
            <w:pPr>
              <w:ind w:left="30" w:right="30"/>
              <w:rPr>
                <w:rFonts w:ascii="Calibri" w:eastAsia="Times New Roman" w:hAnsi="Calibri" w:cs="Calibri"/>
                <w:sz w:val="16"/>
              </w:rPr>
            </w:pPr>
            <w:hyperlink r:id="rId44" w:tgtFrame="_blank" w:history="1">
              <w:r w:rsidR="003F3DB0" w:rsidRPr="003F3DB0">
                <w:rPr>
                  <w:rStyle w:val="Hyperlink"/>
                  <w:rFonts w:ascii="Calibri" w:eastAsia="Times New Roman" w:hAnsi="Calibri" w:cs="Calibri"/>
                  <w:sz w:val="16"/>
                </w:rPr>
                <w:t>33_C_35</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In our industry, governments are often both regulators and major customers.</w:t>
            </w:r>
          </w:p>
          <w:p w14:paraId="45B408B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I vår bransje er offentlige myndigheter ofte både reguleringsorganer og store kunder.</w:t>
            </w:r>
          </w:p>
          <w:p w14:paraId="39F7DF3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 er viktig å være oppmerksom på at for lover som FCPA, er definisjonen av en offentlig tjenestemann ofte bredt tolket – spesielt for helseindustrien – og strekker seg langt utover de som er politisk valgt.</w:t>
            </w:r>
          </w:p>
          <w:p w14:paraId="3E8D1361" w14:textId="753BB385"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I mange tilfeller kan for eksempel leger og annet helsepersonell som er ansatt av, som underviser eller som har privilegier ved offentlige sykehus eller offentlige klinikker eller universiteter, og/eller som handler på vegne av en offentlig instans eller nasjonale helseforetak, anses som offentlige tjenestemenn – selv om det offentlige arbeidet deres kun er deltidsarbeid.</w:t>
            </w:r>
          </w:p>
        </w:tc>
      </w:tr>
      <w:tr w:rsidR="0017386E" w:rsidRPr="003F3DB0"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3F3DB0" w:rsidRDefault="00A64CD0" w:rsidP="007806C4">
            <w:pPr>
              <w:spacing w:before="30" w:after="30"/>
              <w:ind w:left="30" w:right="30"/>
              <w:rPr>
                <w:rFonts w:ascii="Calibri" w:eastAsia="Times New Roman" w:hAnsi="Calibri" w:cs="Calibri"/>
                <w:sz w:val="16"/>
              </w:rPr>
            </w:pPr>
            <w:hyperlink r:id="rId45" w:tgtFrame="_blank" w:history="1">
              <w:r w:rsidR="003F3DB0" w:rsidRPr="003F3DB0">
                <w:rPr>
                  <w:rStyle w:val="Hyperlink"/>
                  <w:rFonts w:ascii="Calibri" w:eastAsia="Times New Roman" w:hAnsi="Calibri" w:cs="Calibri"/>
                  <w:sz w:val="16"/>
                </w:rPr>
                <w:t>Screen 31</w:t>
              </w:r>
            </w:hyperlink>
            <w:r w:rsidR="003F3DB0" w:rsidRPr="003F3DB0">
              <w:rPr>
                <w:rFonts w:ascii="Calibri" w:eastAsia="Times New Roman" w:hAnsi="Calibri" w:cs="Calibri"/>
                <w:sz w:val="16"/>
              </w:rPr>
              <w:t xml:space="preserve"> </w:t>
            </w:r>
          </w:p>
          <w:p w14:paraId="3961DE6F" w14:textId="77777777" w:rsidR="007806C4" w:rsidRPr="003F3DB0" w:rsidRDefault="00A64CD0" w:rsidP="007806C4">
            <w:pPr>
              <w:ind w:left="30" w:right="30"/>
              <w:rPr>
                <w:rFonts w:ascii="Calibri" w:eastAsia="Times New Roman" w:hAnsi="Calibri" w:cs="Calibri"/>
                <w:sz w:val="16"/>
              </w:rPr>
            </w:pPr>
            <w:hyperlink r:id="rId46" w:tgtFrame="_blank" w:history="1">
              <w:r w:rsidR="003F3DB0" w:rsidRPr="003F3DB0">
                <w:rPr>
                  <w:rStyle w:val="Hyperlink"/>
                  <w:rFonts w:ascii="Calibri" w:eastAsia="Times New Roman" w:hAnsi="Calibri" w:cs="Calibri"/>
                  <w:sz w:val="16"/>
                </w:rPr>
                <w:t>35_C_37</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Laws from Around the World</w:t>
            </w:r>
          </w:p>
          <w:p w14:paraId="432E369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A REGION FOR AN EXAMPLE OF THE GLOBAL BRIBERY AND CORRUPTION LAWS IN THAT REGION.</w:t>
            </w:r>
          </w:p>
          <w:p w14:paraId="2396657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Brazil</w:t>
            </w:r>
          </w:p>
          <w:p w14:paraId="5BBFB60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China</w:t>
            </w:r>
          </w:p>
          <w:p w14:paraId="4BD00426" w14:textId="4C1AABB3"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Lover fra rundt om i verden</w:t>
            </w:r>
          </w:p>
          <w:p w14:paraId="0546A2E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Hvis du jobber hos Abbott, er det ditt ansvar å ha kunnskap om og følge de lover og forskrifter som gjelder for din rolle og i de landene der du gjør forretninger.</w:t>
            </w:r>
          </w:p>
          <w:p w14:paraId="01E54EF2"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Dette er spesielt viktig når det gjelder bestikkelse og korrupsjon, der en rekke land har innført lover som er internasjonale i omfang. Kontakt juridisk avdeling for ytterligere veiledning.</w:t>
            </w:r>
          </w:p>
          <w:p w14:paraId="55123C2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EN REGION FOR ET EKSEMPEL PÅ DEN GLOBALE LOVGIVNINGEN OM BESTIKKELSE OG KORRUPSJON I DEN REGIONEN.</w:t>
            </w:r>
          </w:p>
          <w:p w14:paraId="379AA4C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Brasil</w:t>
            </w:r>
          </w:p>
          <w:p w14:paraId="42AF188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Brazil Clean Companies Act forbyr selskaper (som handler gjennom styremedlemmer, tillitsvalgte, ansatte eller tredjeparter) fra å bestikke både utenlandske og innenlandske offentlige tjenestemenn. Den gjelder for alle selskaper i Brasil, selv om de har hovedkvarter andre steder og/eller overtredelsen foregår utenfor Brasil. Antikorrupsjonsloven er en vedtekt om objektivt ansvar. Med andre ord, selv om et selskap ikke hadde noe kunnskap om forseelsen eller forseelsen ikke var tiltenkt, er ansvar etablert kun ved å vise at et styremedlem, en tillitsvalgt, ansatt eller annen agent utførte en ulovlig handling for å gi bedriften en fordel.</w:t>
            </w:r>
          </w:p>
          <w:p w14:paraId="524D483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Kina</w:t>
            </w:r>
          </w:p>
          <w:p w14:paraId="5080EA52" w14:textId="79D836E6"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PRC Criminal Code forbyr kommersielle bestikkelser, så vel som bestikkelse av både kinesiske og utenlandske offentlige tjenestemenn. Kinas Anti-Unfair Competition Law forbyr også virksomheter fra å gi bestikkelser for å kunne kjøp eller selge produkter på en måte som begrenser fri konkurranse. Bestikkelser som ikke bryter PRC Criminal Code kan fortsatt bryte PRC Anti-Unfair Competition Law. Kinas øverste myndighet mot korrupsjon har også forpliktet seg til å opprettholde en tøff linje mot korrupsjon.</w:t>
            </w:r>
          </w:p>
        </w:tc>
      </w:tr>
      <w:tr w:rsidR="0017386E" w:rsidRPr="003F3DB0"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3F3DB0" w:rsidRDefault="00A64CD0" w:rsidP="007806C4">
            <w:pPr>
              <w:spacing w:before="30" w:after="30"/>
              <w:ind w:left="30" w:right="30"/>
              <w:rPr>
                <w:rFonts w:ascii="Calibri" w:eastAsia="Times New Roman" w:hAnsi="Calibri" w:cs="Calibri"/>
                <w:sz w:val="16"/>
              </w:rPr>
            </w:pPr>
            <w:hyperlink r:id="rId47" w:tgtFrame="_blank" w:history="1">
              <w:r w:rsidR="003F3DB0" w:rsidRPr="003F3DB0">
                <w:rPr>
                  <w:rStyle w:val="Hyperlink"/>
                  <w:rFonts w:ascii="Calibri" w:eastAsia="Times New Roman" w:hAnsi="Calibri" w:cs="Calibri"/>
                  <w:sz w:val="16"/>
                </w:rPr>
                <w:t>Screen 32</w:t>
              </w:r>
            </w:hyperlink>
            <w:r w:rsidR="003F3DB0" w:rsidRPr="003F3DB0">
              <w:rPr>
                <w:rFonts w:ascii="Calibri" w:eastAsia="Times New Roman" w:hAnsi="Calibri" w:cs="Calibri"/>
                <w:sz w:val="16"/>
              </w:rPr>
              <w:t xml:space="preserve"> </w:t>
            </w:r>
          </w:p>
          <w:p w14:paraId="4C11C613" w14:textId="77777777" w:rsidR="007806C4" w:rsidRPr="003F3DB0" w:rsidRDefault="00A64CD0" w:rsidP="007806C4">
            <w:pPr>
              <w:ind w:left="30" w:right="30"/>
              <w:rPr>
                <w:rFonts w:ascii="Calibri" w:eastAsia="Times New Roman" w:hAnsi="Calibri" w:cs="Calibri"/>
                <w:sz w:val="16"/>
              </w:rPr>
            </w:pPr>
            <w:hyperlink r:id="rId48" w:tgtFrame="_blank" w:history="1">
              <w:r w:rsidR="003F3DB0" w:rsidRPr="003F3DB0">
                <w:rPr>
                  <w:rStyle w:val="Hyperlink"/>
                  <w:rFonts w:ascii="Calibri" w:eastAsia="Times New Roman" w:hAnsi="Calibri" w:cs="Calibri"/>
                  <w:sz w:val="16"/>
                </w:rPr>
                <w:t>36_C_38</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Vi er forpliktet til å rapportere ethvert mistenkt brudd på Abbotts retningslinjer knyttet til lover for bestikkelse og antikorrupsjon. Vi kan gjøre dette via OEC, juridisk avdeling eller hjelpetelefonen for etikk og samsvar.</w:t>
            </w:r>
          </w:p>
        </w:tc>
      </w:tr>
      <w:tr w:rsidR="0017386E" w:rsidRPr="003F3DB0"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3F3DB0" w:rsidRDefault="00A64CD0" w:rsidP="007806C4">
            <w:pPr>
              <w:spacing w:before="30" w:after="30"/>
              <w:ind w:left="30" w:right="30"/>
              <w:rPr>
                <w:rFonts w:ascii="Calibri" w:eastAsia="Times New Roman" w:hAnsi="Calibri" w:cs="Calibri"/>
                <w:sz w:val="16"/>
              </w:rPr>
            </w:pPr>
            <w:hyperlink r:id="rId49" w:tgtFrame="_blank" w:history="1">
              <w:r w:rsidR="003F3DB0" w:rsidRPr="003F3DB0">
                <w:rPr>
                  <w:rStyle w:val="Hyperlink"/>
                  <w:rFonts w:ascii="Calibri" w:eastAsia="Times New Roman" w:hAnsi="Calibri" w:cs="Calibri"/>
                  <w:sz w:val="16"/>
                </w:rPr>
                <w:t>Screen 34</w:t>
              </w:r>
            </w:hyperlink>
            <w:r w:rsidR="003F3DB0" w:rsidRPr="003F3DB0">
              <w:rPr>
                <w:rFonts w:ascii="Calibri" w:eastAsia="Times New Roman" w:hAnsi="Calibri" w:cs="Calibri"/>
                <w:sz w:val="16"/>
              </w:rPr>
              <w:t xml:space="preserve"> </w:t>
            </w:r>
          </w:p>
          <w:p w14:paraId="0F01E372" w14:textId="77777777" w:rsidR="007806C4" w:rsidRPr="003F3DB0" w:rsidRDefault="00A64CD0" w:rsidP="007806C4">
            <w:pPr>
              <w:ind w:left="30" w:right="30"/>
              <w:rPr>
                <w:rFonts w:ascii="Calibri" w:eastAsia="Times New Roman" w:hAnsi="Calibri" w:cs="Calibri"/>
                <w:sz w:val="16"/>
              </w:rPr>
            </w:pPr>
            <w:hyperlink r:id="rId50" w:tgtFrame="_blank" w:history="1">
              <w:r w:rsidR="003F3DB0" w:rsidRPr="003F3DB0">
                <w:rPr>
                  <w:rStyle w:val="Hyperlink"/>
                  <w:rFonts w:ascii="Calibri" w:eastAsia="Times New Roman" w:hAnsi="Calibri" w:cs="Calibri"/>
                  <w:sz w:val="16"/>
                </w:rPr>
                <w:t>38_C_40</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Imagine...</w:t>
            </w:r>
          </w:p>
          <w:p w14:paraId="4DAE8686" w14:textId="03943545"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Forestill deg …</w:t>
            </w:r>
          </w:p>
          <w:p w14:paraId="43CF8961" w14:textId="12E22285"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Du setter opp et fagråd med en liten gruppe leger for å få tilbakemelding om et nytt produkt som nylig er lansert. Det er et åpenbart og legitimt formål for møtet og deltakerne er håndplukket på grunnlag av deres kvalifikasjoner og ekspertise. Etter programmet utfører du en avkastningsanalyse for å fastslå om deltakere i fagrådet kjøpte flere Abbott-produkter.</w:t>
            </w:r>
          </w:p>
        </w:tc>
      </w:tr>
      <w:tr w:rsidR="0017386E" w:rsidRPr="003F3DB0"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3F3DB0" w:rsidRDefault="00A64CD0" w:rsidP="007806C4">
            <w:pPr>
              <w:spacing w:before="30" w:after="30"/>
              <w:ind w:left="30" w:right="30"/>
              <w:rPr>
                <w:rFonts w:ascii="Calibri" w:eastAsia="Times New Roman" w:hAnsi="Calibri" w:cs="Calibri"/>
                <w:sz w:val="16"/>
              </w:rPr>
            </w:pPr>
            <w:hyperlink r:id="rId51" w:tgtFrame="_blank" w:history="1">
              <w:r w:rsidR="003F3DB0" w:rsidRPr="003F3DB0">
                <w:rPr>
                  <w:rStyle w:val="Hyperlink"/>
                  <w:rFonts w:ascii="Calibri" w:eastAsia="Times New Roman" w:hAnsi="Calibri" w:cs="Calibri"/>
                  <w:sz w:val="16"/>
                </w:rPr>
                <w:t>Screen 36</w:t>
              </w:r>
            </w:hyperlink>
            <w:r w:rsidR="003F3DB0" w:rsidRPr="003F3DB0">
              <w:rPr>
                <w:rFonts w:ascii="Calibri" w:eastAsia="Times New Roman" w:hAnsi="Calibri" w:cs="Calibri"/>
                <w:sz w:val="16"/>
              </w:rPr>
              <w:t xml:space="preserve"> </w:t>
            </w:r>
          </w:p>
          <w:p w14:paraId="6A08A73A" w14:textId="77777777" w:rsidR="007806C4" w:rsidRPr="003F3DB0" w:rsidRDefault="00A64CD0" w:rsidP="007806C4">
            <w:pPr>
              <w:ind w:left="30" w:right="30"/>
              <w:rPr>
                <w:rFonts w:ascii="Calibri" w:eastAsia="Times New Roman" w:hAnsi="Calibri" w:cs="Calibri"/>
                <w:sz w:val="16"/>
              </w:rPr>
            </w:pPr>
            <w:hyperlink r:id="rId52" w:tgtFrame="_blank" w:history="1">
              <w:r w:rsidR="003F3DB0" w:rsidRPr="003F3DB0">
                <w:rPr>
                  <w:rStyle w:val="Hyperlink"/>
                  <w:rFonts w:ascii="Calibri" w:eastAsia="Times New Roman" w:hAnsi="Calibri" w:cs="Calibri"/>
                  <w:sz w:val="16"/>
                </w:rPr>
                <w:t>40_C_42</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Imagine...</w:t>
            </w:r>
          </w:p>
          <w:p w14:paraId="5BECF6FF" w14:textId="5671FDAE"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Forestill deg …</w:t>
            </w:r>
          </w:p>
          <w:p w14:paraId="19B23F92" w14:textId="7632E2A5"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Du har blitt bedt om å gjennomgå et forslag hvor den ansatte ønsker å ansette helsepersonell som jobber på et offentlig sykehus i Kina, til å utføre produktopplæring for et av selskapets produkter for en gruppe helsepersonell fra andre offentlige sykehus. Den ansatte har vært nøye med å velge helsepersonellet basert på hennes kvalifikasjoner som kursholder og har brukt markedsverdi-verktøyet for å fastslå riktig kompensasjon for tjenestene hennes. Fordi helsepersonellet som skal utføre opplæringen og helsepersonellet som mottar opplæringen er fra hele regionen, vil arrangementet avholdes på et egnet hotell i Shanghai. Ved siste vurdering av dokumentasjonen for forslaget, merker du at det ikke er noe som støtter behovet for å lære opp denne gruppen helsepersonell på dette produktet.</w:t>
            </w:r>
          </w:p>
        </w:tc>
      </w:tr>
      <w:tr w:rsidR="0017386E" w:rsidRPr="003F3DB0"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3F3DB0" w:rsidRDefault="00A64CD0" w:rsidP="007806C4">
            <w:pPr>
              <w:spacing w:before="30" w:after="30"/>
              <w:ind w:left="30" w:right="30"/>
              <w:rPr>
                <w:rFonts w:ascii="Calibri" w:eastAsia="Times New Roman" w:hAnsi="Calibri" w:cs="Calibri"/>
                <w:sz w:val="16"/>
              </w:rPr>
            </w:pPr>
            <w:hyperlink r:id="rId53" w:tgtFrame="_blank" w:history="1">
              <w:r w:rsidR="003F3DB0" w:rsidRPr="003F3DB0">
                <w:rPr>
                  <w:rStyle w:val="Hyperlink"/>
                  <w:rFonts w:ascii="Calibri" w:eastAsia="Times New Roman" w:hAnsi="Calibri" w:cs="Calibri"/>
                  <w:sz w:val="16"/>
                </w:rPr>
                <w:t>Screen 38</w:t>
              </w:r>
            </w:hyperlink>
            <w:r w:rsidR="003F3DB0" w:rsidRPr="003F3DB0">
              <w:rPr>
                <w:rFonts w:ascii="Calibri" w:eastAsia="Times New Roman" w:hAnsi="Calibri" w:cs="Calibri"/>
                <w:sz w:val="16"/>
              </w:rPr>
              <w:t xml:space="preserve"> </w:t>
            </w:r>
          </w:p>
          <w:p w14:paraId="2959DE7E" w14:textId="77777777" w:rsidR="007806C4" w:rsidRPr="003F3DB0" w:rsidRDefault="00A64CD0" w:rsidP="007806C4">
            <w:pPr>
              <w:ind w:left="30" w:right="30"/>
              <w:rPr>
                <w:rFonts w:ascii="Calibri" w:eastAsia="Times New Roman" w:hAnsi="Calibri" w:cs="Calibri"/>
                <w:sz w:val="16"/>
              </w:rPr>
            </w:pPr>
            <w:hyperlink r:id="rId54" w:tgtFrame="_blank" w:history="1">
              <w:r w:rsidR="003F3DB0" w:rsidRPr="003F3DB0">
                <w:rPr>
                  <w:rStyle w:val="Hyperlink"/>
                  <w:rFonts w:ascii="Calibri" w:eastAsia="Times New Roman" w:hAnsi="Calibri" w:cs="Calibri"/>
                  <w:sz w:val="16"/>
                </w:rPr>
                <w:t>42_C_43b</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Sponsorships (Continued)</w:t>
            </w:r>
          </w:p>
          <w:p w14:paraId="19EEC33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Never offer a sponsorship as a reward or inducement.</w:t>
            </w:r>
          </w:p>
          <w:p w14:paraId="488D4409"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Ensure expenses are modest, appropriate, and in compliance with local policy.</w:t>
            </w:r>
          </w:p>
          <w:p w14:paraId="7C146CE0"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Never pay for any expense incurred by a spouse, family member or guest.</w:t>
            </w:r>
          </w:p>
          <w:p w14:paraId="36A1C350"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Never pay for side trips or entertainment.</w:t>
            </w:r>
          </w:p>
          <w:p w14:paraId="76CEAA4D"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Wherever possible, make all payments directly to service providers and do not pay in cash.</w:t>
            </w:r>
          </w:p>
          <w:p w14:paraId="71684EC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Sponsing (fortsatt)</w:t>
            </w:r>
          </w:p>
          <w:p w14:paraId="0A1CF01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Her er noen enkle ting du kan gjøre for å sikre at sponsing forblir hensiktsmessig – fri for urettmessig innflytelse og tilskyndelse.</w:t>
            </w:r>
          </w:p>
          <w:p w14:paraId="1332489E"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Aldri tilby sponsing som belønning eller tilskyndelse.</w:t>
            </w:r>
          </w:p>
          <w:p w14:paraId="0B188EB9"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Alltid søk og innhent passende autorisasjon på forhånd før du samtykker til å sponse forretningsutgifter for en offentlig ansatt.</w:t>
            </w:r>
          </w:p>
          <w:p w14:paraId="482800F6"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Pass på at møtet er hensiktsmessig og sjekk for å sikre at det finnes en forhåndsgodkjent agenda med vitenskapelig innhold.</w:t>
            </w:r>
          </w:p>
          <w:p w14:paraId="41B9A839"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Sikre at kostnadene er beskjedne, hensiktsmessige og i samsvar med lokale retningslinjer.</w:t>
            </w:r>
          </w:p>
          <w:p w14:paraId="0A7757CB"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Aldri betal for kostnader som påløpes av en ektefelle, et familiemedlem eller en gjest.</w:t>
            </w:r>
          </w:p>
          <w:p w14:paraId="1F6FCC5B"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Aldri betal for sideutflukter eller underholdning.</w:t>
            </w:r>
          </w:p>
          <w:p w14:paraId="1EFF8F16" w14:textId="77777777" w:rsidR="007806C4" w:rsidRPr="003F3DB0" w:rsidRDefault="003F3DB0" w:rsidP="007806C4">
            <w:pPr>
              <w:numPr>
                <w:ilvl w:val="0"/>
                <w:numId w:val="7"/>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Alle betalinger bør foretas direkte til tjenesteleverandørene og ikke i kontanter, hvor mulig.</w:t>
            </w:r>
          </w:p>
          <w:p w14:paraId="07338098" w14:textId="4D20F22B"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Husk at sponsing er ulovlig og/eller bryter med industriretningslinjer i mange jurisdiksjoner. Rådfør deg alltid med lokale lover og regler før du forplikter deg til et sponsorsamarbeid.</w:t>
            </w:r>
          </w:p>
        </w:tc>
      </w:tr>
      <w:tr w:rsidR="0017386E" w:rsidRPr="003F3DB0"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3F3DB0" w:rsidRDefault="00A64CD0" w:rsidP="007806C4">
            <w:pPr>
              <w:spacing w:before="30" w:after="30"/>
              <w:ind w:left="30" w:right="30"/>
              <w:rPr>
                <w:rFonts w:ascii="Calibri" w:eastAsia="Times New Roman" w:hAnsi="Calibri" w:cs="Calibri"/>
                <w:sz w:val="16"/>
              </w:rPr>
            </w:pPr>
            <w:hyperlink r:id="rId55" w:tgtFrame="_blank" w:history="1">
              <w:r w:rsidR="003F3DB0" w:rsidRPr="003F3DB0">
                <w:rPr>
                  <w:rStyle w:val="Hyperlink"/>
                  <w:rFonts w:ascii="Calibri" w:eastAsia="Times New Roman" w:hAnsi="Calibri" w:cs="Calibri"/>
                  <w:sz w:val="16"/>
                </w:rPr>
                <w:t>Screen 42</w:t>
              </w:r>
            </w:hyperlink>
            <w:r w:rsidR="003F3DB0" w:rsidRPr="003F3DB0">
              <w:rPr>
                <w:rFonts w:ascii="Calibri" w:eastAsia="Times New Roman" w:hAnsi="Calibri" w:cs="Calibri"/>
                <w:sz w:val="16"/>
              </w:rPr>
              <w:t xml:space="preserve"> </w:t>
            </w:r>
          </w:p>
          <w:p w14:paraId="2368B4C3" w14:textId="77777777" w:rsidR="007806C4" w:rsidRPr="003F3DB0" w:rsidRDefault="00A64CD0" w:rsidP="007806C4">
            <w:pPr>
              <w:ind w:left="30" w:right="30"/>
              <w:rPr>
                <w:rFonts w:ascii="Calibri" w:eastAsia="Times New Roman" w:hAnsi="Calibri" w:cs="Calibri"/>
                <w:sz w:val="16"/>
              </w:rPr>
            </w:pPr>
            <w:hyperlink r:id="rId56" w:tgtFrame="_blank" w:history="1">
              <w:r w:rsidR="003F3DB0" w:rsidRPr="003F3DB0">
                <w:rPr>
                  <w:rStyle w:val="Hyperlink"/>
                  <w:rFonts w:ascii="Calibri" w:eastAsia="Times New Roman" w:hAnsi="Calibri" w:cs="Calibri"/>
                  <w:sz w:val="16"/>
                </w:rPr>
                <w:t>46_C_47</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Items of Value</w:t>
            </w:r>
          </w:p>
          <w:p w14:paraId="1D182FB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rPr>
            </w:pPr>
            <w:r w:rsidRPr="003F3DB0">
              <w:rPr>
                <w:rFonts w:ascii="Calibri" w:eastAsia="Times New Roman" w:hAnsi="Calibri" w:cs="Calibri"/>
                <w:lang w:val="en-IE"/>
              </w:rPr>
              <w:t xml:space="preserve">Only offer items of minimal value that are patient-health or office/work-related, and in accordance with local policy. </w:t>
            </w:r>
            <w:r w:rsidRPr="003F3DB0">
              <w:rPr>
                <w:rFonts w:ascii="Calibri" w:eastAsia="Times New Roman" w:hAnsi="Calibri" w:cs="Calibri"/>
              </w:rPr>
              <w:t>Gifts are never permitted.</w:t>
            </w:r>
          </w:p>
          <w:p w14:paraId="2F4F6385"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Never pay for something out of your own pocket.</w:t>
            </w:r>
          </w:p>
          <w:p w14:paraId="13A9B8CA"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Noe av verdi</w:t>
            </w:r>
          </w:p>
          <w:p w14:paraId="3E23DD8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Sjekk med dine lokale OEC-policyer og prosedyrer for å bestemme hva av verdi som tillates. Bruk deretter følgende retningslinjer for å påse at måltider og andre elementer aldri gis eller oppfattes som å bli gitt, som en belønning eller påvirkning.</w:t>
            </w:r>
          </w:p>
          <w:p w14:paraId="00F67723"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Kun betal for måltider og snacks som er rimelige i beløp, sjeldne, forretningsrelaterte og i samsvar med lokal policy.</w:t>
            </w:r>
          </w:p>
          <w:p w14:paraId="0A452D32"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rPr>
            </w:pPr>
            <w:r w:rsidRPr="003F3DB0">
              <w:rPr>
                <w:rFonts w:ascii="Calibri" w:eastAsia="Calibri" w:hAnsi="Calibri" w:cs="Calibri"/>
                <w:lang w:val="nb-NO"/>
              </w:rPr>
              <w:t>Kun tilby gjenstander av minimal verdi som er pasient-/helse- eller kontor-/arbeidsrelaterte og i samsvar med lokal policy. Gaver er aldri tillatt.</w:t>
            </w:r>
          </w:p>
          <w:p w14:paraId="1AE3827A" w14:textId="77777777" w:rsidR="007806C4" w:rsidRPr="003F3DB0" w:rsidRDefault="003F3DB0" w:rsidP="007806C4">
            <w:pPr>
              <w:numPr>
                <w:ilvl w:val="0"/>
                <w:numId w:val="9"/>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Aldri betal for noe ut av din egen lomme.</w:t>
            </w:r>
          </w:p>
          <w:p w14:paraId="4252C98B" w14:textId="251140DA" w:rsidR="007806C4" w:rsidRPr="003F3DB0" w:rsidRDefault="003F3DB0" w:rsidP="00B14D93">
            <w:pPr>
              <w:numPr>
                <w:ilvl w:val="0"/>
                <w:numId w:val="9"/>
              </w:numPr>
              <w:spacing w:before="100" w:beforeAutospacing="1" w:after="100" w:afterAutospacing="1"/>
              <w:ind w:left="750" w:right="30"/>
              <w:rPr>
                <w:rFonts w:ascii="Calibri" w:hAnsi="Calibri" w:cs="Calibri"/>
                <w:lang w:val="en-IE"/>
              </w:rPr>
            </w:pPr>
            <w:r w:rsidRPr="003F3DB0">
              <w:rPr>
                <w:rFonts w:ascii="Calibri" w:eastAsia="Calibri" w:hAnsi="Calibri" w:cs="Calibri"/>
                <w:lang w:val="nb-NO"/>
              </w:rPr>
              <w:t>Aldri tilby måltider eller gjestfrihet til en ektefelle, gjest eller familiemedlem til helsepersonell eller en annen kunde.</w:t>
            </w:r>
          </w:p>
        </w:tc>
      </w:tr>
      <w:tr w:rsidR="0017386E" w:rsidRPr="003F3DB0"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3F3DB0" w:rsidRDefault="00A64CD0" w:rsidP="007806C4">
            <w:pPr>
              <w:spacing w:before="30" w:after="30"/>
              <w:ind w:left="30" w:right="30"/>
              <w:rPr>
                <w:rFonts w:ascii="Calibri" w:eastAsia="Times New Roman" w:hAnsi="Calibri" w:cs="Calibri"/>
                <w:sz w:val="16"/>
              </w:rPr>
            </w:pPr>
            <w:hyperlink r:id="rId57" w:tgtFrame="_blank" w:history="1">
              <w:r w:rsidR="003F3DB0" w:rsidRPr="003F3DB0">
                <w:rPr>
                  <w:rStyle w:val="Hyperlink"/>
                  <w:rFonts w:ascii="Calibri" w:eastAsia="Times New Roman" w:hAnsi="Calibri" w:cs="Calibri"/>
                  <w:sz w:val="16"/>
                </w:rPr>
                <w:t>Screen 43</w:t>
              </w:r>
            </w:hyperlink>
            <w:r w:rsidR="003F3DB0" w:rsidRPr="003F3DB0">
              <w:rPr>
                <w:rFonts w:ascii="Calibri" w:eastAsia="Times New Roman" w:hAnsi="Calibri" w:cs="Calibri"/>
                <w:sz w:val="16"/>
              </w:rPr>
              <w:t xml:space="preserve"> </w:t>
            </w:r>
          </w:p>
          <w:p w14:paraId="2B769626" w14:textId="77777777" w:rsidR="007806C4" w:rsidRPr="003F3DB0" w:rsidRDefault="00A64CD0" w:rsidP="007806C4">
            <w:pPr>
              <w:ind w:left="30" w:right="30"/>
              <w:rPr>
                <w:rFonts w:ascii="Calibri" w:eastAsia="Times New Roman" w:hAnsi="Calibri" w:cs="Calibri"/>
                <w:sz w:val="16"/>
              </w:rPr>
            </w:pPr>
            <w:hyperlink r:id="rId58" w:tgtFrame="_blank" w:history="1">
              <w:r w:rsidR="003F3DB0" w:rsidRPr="003F3DB0">
                <w:rPr>
                  <w:rStyle w:val="Hyperlink"/>
                  <w:rFonts w:ascii="Calibri" w:eastAsia="Times New Roman" w:hAnsi="Calibri" w:cs="Calibri"/>
                  <w:sz w:val="16"/>
                </w:rPr>
                <w:t>47_C_48</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arrow to begin your review.</w:t>
            </w:r>
          </w:p>
          <w:p w14:paraId="451F15F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549B661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Take a moment to review some of the key concepts in this section.</w:t>
            </w:r>
          </w:p>
          <w:p w14:paraId="68A8A91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ALL FORMS OF BRIBERY ARE STRICTLY PROHIBITED</w:t>
            </w:r>
          </w:p>
          <w:p w14:paraId="296BD9A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At Abbott, bribery of government officials and commercial bribery are both strictly prohibited.</w:t>
            </w:r>
          </w:p>
          <w:p w14:paraId="2989D70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GLOBAL BRIBERY AND CORRUPTION LAWS</w:t>
            </w:r>
          </w:p>
          <w:p w14:paraId="2809F41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ABBOTT’S STANDARDS</w:t>
            </w:r>
          </w:p>
          <w:p w14:paraId="301161C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HIRING FOR PROFESSIONAL SERVICES</w:t>
            </w:r>
          </w:p>
          <w:p w14:paraId="3E0F498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SPONSORSHIPS</w:t>
            </w:r>
          </w:p>
          <w:p w14:paraId="649E1FB2"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BOOKS AND RECORDS</w:t>
            </w:r>
          </w:p>
          <w:p w14:paraId="37040D88"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Record every transaction accurately to reflect the actual purpose, actual details, and correct description.</w:t>
            </w:r>
          </w:p>
          <w:p w14:paraId="3187F6C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ITEMS OF VALUE</w:t>
            </w:r>
          </w:p>
          <w:p w14:paraId="4813A229"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Always check with your local OEC policies and procedures to determine what items of value are permitted.</w:t>
            </w:r>
          </w:p>
          <w:p w14:paraId="3440E59F" w14:textId="537B9692"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To check your progress, click the Menu button.</w:t>
            </w:r>
          </w:p>
          <w:p w14:paraId="38B5DFB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 have completed section 2 of 4</w:t>
            </w:r>
          </w:p>
          <w:p w14:paraId="3454A9AE"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forward arrow to continue learning</w:t>
            </w:r>
          </w:p>
        </w:tc>
        <w:tc>
          <w:tcPr>
            <w:tcW w:w="6000" w:type="dxa"/>
            <w:vAlign w:val="center"/>
          </w:tcPr>
          <w:p w14:paraId="21F1A1B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pilen for å starte gjennomgangen din.</w:t>
            </w:r>
          </w:p>
          <w:p w14:paraId="4DD568E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0F26DE7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Ta et øyeblikk til å gjennomgå noen av nøkkelkonseptene i denne delen.</w:t>
            </w:r>
          </w:p>
          <w:p w14:paraId="61326522"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ALLE FORMER FOR BESTIKKELSE ER STRENGT FORBUDT</w:t>
            </w:r>
          </w:p>
          <w:p w14:paraId="655EAFA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Hos Abbott er både bestikkelse av offentlige tjenestemenn og kommersielle bestikkelser strengt forbudt.</w:t>
            </w:r>
          </w:p>
          <w:p w14:paraId="7C848B0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GLOBAL LOVGIVNING FOR BESTIKKELSE OG KORRUPSJON</w:t>
            </w:r>
          </w:p>
          <w:p w14:paraId="03D5853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 er ditt ansvar å ha kunnskap om og følge de lover og forskrifter som gjelder for din rolle og i de landene der du gjør forretninger.</w:t>
            </w:r>
          </w:p>
          <w:p w14:paraId="3163B54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ABBOTTS PRINSIPPER</w:t>
            </w:r>
          </w:p>
          <w:p w14:paraId="592EC7D3"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Abbotts egne prinsipper mot bestikkelse og korrupsjon er konsekvent med vår forpliktelse til å utøve virksomhet med ærlighet, rettferdighet og integritet.</w:t>
            </w:r>
          </w:p>
          <w:p w14:paraId="72B4D1BA"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INNLEIE FOR FAGLIGE TJENESTER</w:t>
            </w:r>
          </w:p>
          <w:p w14:paraId="1DDEB1E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Inngå aldri en avtale for å urettmessig påvirke eller tilskynde en forretningsavgjørelse, selv om dette kun er en delvis grunn.</w:t>
            </w:r>
          </w:p>
          <w:p w14:paraId="035AA809"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SPONSING</w:t>
            </w:r>
          </w:p>
          <w:p w14:paraId="47ED0396"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Sikre alltid at sponsingen forblir passende – uten upassende påvirkning og tilskyndelse – og er på linje med standardene for dine lokale tilknyttede selskaper.</w:t>
            </w:r>
          </w:p>
          <w:p w14:paraId="6AAF72A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BØKER OG REGISTRE</w:t>
            </w:r>
          </w:p>
          <w:p w14:paraId="67CF20E0"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Registrer hver eneste transaksjon nøyaktig for å reflektere faktisk formål og detaljer og med riktig beskrivelse.</w:t>
            </w:r>
          </w:p>
          <w:p w14:paraId="102D1CE6"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NOE AV VERDI</w:t>
            </w:r>
          </w:p>
          <w:p w14:paraId="2DBA7022"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Sjekk alltid med dine lokale OEC-retningslinjer og prosedyrer for å bestemme hvilke elementer av verdi som tillates.</w:t>
            </w:r>
          </w:p>
          <w:p w14:paraId="646C944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Meny-knappen for å sjekke fremgangen din.</w:t>
            </w:r>
          </w:p>
          <w:p w14:paraId="34805B8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Du har fullført del 2 av 4</w:t>
            </w:r>
          </w:p>
          <w:p w14:paraId="1BF3D9EC" w14:textId="3B4422AF"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framover-pilen for å fortsette å lære</w:t>
            </w:r>
          </w:p>
        </w:tc>
      </w:tr>
      <w:tr w:rsidR="0017386E" w:rsidRPr="003F3DB0"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3F3DB0" w:rsidRDefault="00A64CD0" w:rsidP="007806C4">
            <w:pPr>
              <w:spacing w:before="30" w:after="30"/>
              <w:ind w:left="30" w:right="30"/>
              <w:rPr>
                <w:rFonts w:ascii="Calibri" w:eastAsia="Times New Roman" w:hAnsi="Calibri" w:cs="Calibri"/>
                <w:sz w:val="16"/>
              </w:rPr>
            </w:pPr>
            <w:hyperlink r:id="rId59" w:tgtFrame="_blank" w:history="1">
              <w:r w:rsidR="003F3DB0" w:rsidRPr="003F3DB0">
                <w:rPr>
                  <w:rStyle w:val="Hyperlink"/>
                  <w:rFonts w:ascii="Calibri" w:eastAsia="Times New Roman" w:hAnsi="Calibri" w:cs="Calibri"/>
                  <w:sz w:val="16"/>
                </w:rPr>
                <w:t>Screen 44</w:t>
              </w:r>
            </w:hyperlink>
            <w:r w:rsidR="003F3DB0" w:rsidRPr="003F3DB0">
              <w:rPr>
                <w:rFonts w:ascii="Calibri" w:eastAsia="Times New Roman" w:hAnsi="Calibri" w:cs="Calibri"/>
                <w:sz w:val="16"/>
              </w:rPr>
              <w:t xml:space="preserve"> </w:t>
            </w:r>
          </w:p>
          <w:p w14:paraId="0D0B9EF6" w14:textId="77777777" w:rsidR="007806C4" w:rsidRPr="003F3DB0" w:rsidRDefault="00A64CD0" w:rsidP="007806C4">
            <w:pPr>
              <w:ind w:left="30" w:right="30"/>
              <w:rPr>
                <w:rFonts w:ascii="Calibri" w:eastAsia="Times New Roman" w:hAnsi="Calibri" w:cs="Calibri"/>
                <w:sz w:val="16"/>
              </w:rPr>
            </w:pPr>
            <w:hyperlink r:id="rId60" w:tgtFrame="_blank" w:history="1">
              <w:r w:rsidR="003F3DB0" w:rsidRPr="003F3DB0">
                <w:rPr>
                  <w:rStyle w:val="Hyperlink"/>
                  <w:rFonts w:ascii="Calibri" w:eastAsia="Times New Roman" w:hAnsi="Calibri" w:cs="Calibri"/>
                  <w:sz w:val="16"/>
                </w:rPr>
                <w:t>48_C_50</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Abbott sponser kun på grunnlag av helsepersonells utdanningsbehov og ekspertise, kun hvor tillatt av alle gjeldende lover og bransjeretningslinjer og aldri som en belønning eller tilskyndelse for å vinne forretningsavtaler. Du setter klare forventninger ved å fortelle avdelingslederen hva som står i Abbotts regler, samtidig som du styrker selskapets forpliktelse til juridisk og etisk adferd.</w:t>
            </w:r>
          </w:p>
        </w:tc>
      </w:tr>
      <w:tr w:rsidR="0017386E" w:rsidRPr="003F3DB0"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3F3DB0" w:rsidRDefault="00A64CD0" w:rsidP="007806C4">
            <w:pPr>
              <w:spacing w:before="30" w:after="30"/>
              <w:ind w:left="30" w:right="30"/>
              <w:rPr>
                <w:rFonts w:ascii="Calibri" w:eastAsia="Times New Roman" w:hAnsi="Calibri" w:cs="Calibri"/>
                <w:sz w:val="16"/>
              </w:rPr>
            </w:pPr>
            <w:hyperlink r:id="rId61" w:tgtFrame="_blank" w:history="1">
              <w:r w:rsidR="003F3DB0" w:rsidRPr="003F3DB0">
                <w:rPr>
                  <w:rStyle w:val="Hyperlink"/>
                  <w:rFonts w:ascii="Calibri" w:eastAsia="Times New Roman" w:hAnsi="Calibri" w:cs="Calibri"/>
                  <w:sz w:val="16"/>
                </w:rPr>
                <w:t>Screen 55</w:t>
              </w:r>
            </w:hyperlink>
            <w:r w:rsidR="003F3DB0" w:rsidRPr="003F3DB0">
              <w:rPr>
                <w:rFonts w:ascii="Calibri" w:eastAsia="Times New Roman" w:hAnsi="Calibri" w:cs="Calibri"/>
                <w:sz w:val="16"/>
              </w:rPr>
              <w:t xml:space="preserve"> </w:t>
            </w:r>
          </w:p>
          <w:p w14:paraId="4F128534" w14:textId="77777777" w:rsidR="007806C4" w:rsidRPr="003F3DB0" w:rsidRDefault="00A64CD0" w:rsidP="007806C4">
            <w:pPr>
              <w:ind w:left="30" w:right="30"/>
              <w:rPr>
                <w:rFonts w:ascii="Calibri" w:eastAsia="Times New Roman" w:hAnsi="Calibri" w:cs="Calibri"/>
                <w:sz w:val="16"/>
              </w:rPr>
            </w:pPr>
            <w:hyperlink r:id="rId62" w:tgtFrame="_blank" w:history="1">
              <w:r w:rsidR="003F3DB0" w:rsidRPr="003F3DB0">
                <w:rPr>
                  <w:rStyle w:val="Hyperlink"/>
                  <w:rFonts w:ascii="Calibri" w:eastAsia="Times New Roman" w:hAnsi="Calibri" w:cs="Calibri"/>
                  <w:sz w:val="16"/>
                </w:rPr>
                <w:t>59_C_61</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arrow to begin your review.</w:t>
            </w:r>
          </w:p>
          <w:p w14:paraId="7F62911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Review</w:t>
            </w:r>
          </w:p>
          <w:p w14:paraId="0365895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Take a moment to review some of the key concepts in this section.</w:t>
            </w:r>
          </w:p>
          <w:p w14:paraId="69534C1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SETTING CLEAR EXPECTATIONS</w:t>
            </w:r>
          </w:p>
          <w:p w14:paraId="3B9AD4A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Setting clear boundaries and expectations with customers and partners is a simple way to avoid the risk of bribery and corruption.</w:t>
            </w:r>
          </w:p>
          <w:p w14:paraId="3DDC599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KNOWING HOW TO SAY “NO”</w:t>
            </w:r>
          </w:p>
          <w:p w14:paraId="4965D0AB"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MAKING THE RIGHT CHOICE</w:t>
            </w:r>
          </w:p>
          <w:p w14:paraId="2A7C6A36"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Even in the most difficult situations, you always have options. Take the time to think things through.</w:t>
            </w:r>
          </w:p>
          <w:p w14:paraId="02036CB7"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WHERE TO GO FOR SUPPORT</w:t>
            </w:r>
          </w:p>
          <w:p w14:paraId="586E6CD0"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To check your progress, click the Menu button.</w:t>
            </w:r>
          </w:p>
          <w:p w14:paraId="0F0CC9A5"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You have completed section 3 of 4</w:t>
            </w:r>
          </w:p>
          <w:p w14:paraId="78A0654D"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Click the forward arrow to continue learning</w:t>
            </w:r>
          </w:p>
        </w:tc>
        <w:tc>
          <w:tcPr>
            <w:tcW w:w="6000" w:type="dxa"/>
            <w:vAlign w:val="center"/>
          </w:tcPr>
          <w:p w14:paraId="7809F51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pilen for å starte gjennomgangen din.</w:t>
            </w:r>
          </w:p>
          <w:p w14:paraId="310B7BC5"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Gjennomgang</w:t>
            </w:r>
          </w:p>
          <w:p w14:paraId="2098124E"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Ta et øyeblikk til å gjennomgå noen av nøkkelkonseptene i denne delen.</w:t>
            </w:r>
          </w:p>
          <w:p w14:paraId="0502F6BB"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SETTE KLARE FORVENTNINGER</w:t>
            </w:r>
          </w:p>
          <w:p w14:paraId="5DC026D8"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 å sette klare grenser og forventninger for kunder og partnere er en enkel måte å unngå risiko forbundet med bestikkelse og korrupsjon.</w:t>
            </w:r>
          </w:p>
          <w:p w14:paraId="2F9F0E2D"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VITE HVORDAN MAN SIER «NEI»</w:t>
            </w:r>
          </w:p>
          <w:p w14:paraId="03EFA8C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Nøkkelen til å svare kunder og partnere som direkte og åpent ber om en bestikkelse, er straks og tydelig å avvise forespørselen.</w:t>
            </w:r>
          </w:p>
          <w:p w14:paraId="1C2B426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FORETA RIKTIG VALG</w:t>
            </w:r>
          </w:p>
          <w:p w14:paraId="429FF86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Selv i de vanskeligste situasjonene har du alltid et valg. Ta deg tid til å tenke gjennom ting.</w:t>
            </w:r>
          </w:p>
          <w:p w14:paraId="0E0A93F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HVOR TA KONTAKT FOR STØTTE</w:t>
            </w:r>
          </w:p>
          <w:p w14:paraId="46DA4151"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Når du står overfor et vanskelig valg, eller du har et spørsmål om bestikkelse eller korrupsjon, bør du snakke med noen i OEC eller juridisk avdeling.</w:t>
            </w:r>
          </w:p>
          <w:p w14:paraId="3E08A62E"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Meny-knappen for å sjekke fremgangen din.</w:t>
            </w:r>
          </w:p>
          <w:p w14:paraId="6CDBFFC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Du har fullført del 3 av 4</w:t>
            </w:r>
          </w:p>
          <w:p w14:paraId="7C08748E" w14:textId="4EF1A4E1"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Klikk på framover-pilen for å fortsette å lære</w:t>
            </w:r>
          </w:p>
        </w:tc>
      </w:tr>
      <w:tr w:rsidR="0017386E" w:rsidRPr="003F3DB0"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3F3DB0" w:rsidRDefault="00A64CD0" w:rsidP="007806C4">
            <w:pPr>
              <w:spacing w:before="30" w:after="30"/>
              <w:ind w:left="30" w:right="30"/>
              <w:rPr>
                <w:rFonts w:ascii="Calibri" w:eastAsia="Times New Roman" w:hAnsi="Calibri" w:cs="Calibri"/>
                <w:sz w:val="16"/>
              </w:rPr>
            </w:pPr>
            <w:hyperlink r:id="rId63" w:tgtFrame="_blank" w:history="1">
              <w:r w:rsidR="003F3DB0" w:rsidRPr="003F3DB0">
                <w:rPr>
                  <w:rStyle w:val="Hyperlink"/>
                  <w:rFonts w:ascii="Calibri" w:eastAsia="Times New Roman" w:hAnsi="Calibri" w:cs="Calibri"/>
                  <w:sz w:val="16"/>
                </w:rPr>
                <w:t>Screen 56</w:t>
              </w:r>
            </w:hyperlink>
            <w:r w:rsidR="003F3DB0" w:rsidRPr="003F3DB0">
              <w:rPr>
                <w:rFonts w:ascii="Calibri" w:eastAsia="Times New Roman" w:hAnsi="Calibri" w:cs="Calibri"/>
                <w:sz w:val="16"/>
              </w:rPr>
              <w:t xml:space="preserve"> </w:t>
            </w:r>
          </w:p>
          <w:p w14:paraId="1BBC1C14" w14:textId="77777777" w:rsidR="007806C4" w:rsidRPr="003F3DB0" w:rsidRDefault="00A64CD0" w:rsidP="007806C4">
            <w:pPr>
              <w:ind w:left="30" w:right="30"/>
              <w:rPr>
                <w:rFonts w:ascii="Calibri" w:eastAsia="Times New Roman" w:hAnsi="Calibri" w:cs="Calibri"/>
                <w:sz w:val="16"/>
              </w:rPr>
            </w:pPr>
            <w:hyperlink r:id="rId64" w:tgtFrame="_blank" w:history="1">
              <w:r w:rsidR="003F3DB0" w:rsidRPr="003F3DB0">
                <w:rPr>
                  <w:rStyle w:val="Hyperlink"/>
                  <w:rFonts w:ascii="Calibri" w:eastAsia="Times New Roman" w:hAnsi="Calibri" w:cs="Calibri"/>
                  <w:sz w:val="16"/>
                </w:rPr>
                <w:t>60_C_62</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Where to Get Help</w:t>
            </w:r>
          </w:p>
          <w:p w14:paraId="04D940DD"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 xml:space="preserve">Visit the </w:t>
            </w:r>
            <w:hyperlink r:id="rId65" w:tgtFrame="_blank" w:history="1">
              <w:r w:rsidRPr="003F3DB0">
                <w:rPr>
                  <w:rStyle w:val="Hyperlink"/>
                  <w:rFonts w:ascii="Calibri" w:eastAsia="Times New Roman" w:hAnsi="Calibri" w:cs="Calibri"/>
                  <w:lang w:val="en-IE"/>
                </w:rPr>
                <w:t>Third Party Compliance</w:t>
              </w:r>
            </w:hyperlink>
            <w:r w:rsidRPr="003F3DB0">
              <w:rPr>
                <w:rFonts w:ascii="Calibri" w:eastAsia="Times New Roman" w:hAnsi="Calibri" w:cs="Calibri"/>
                <w:lang w:val="en-IE"/>
              </w:rPr>
              <w:t xml:space="preserve"> section of the OEC website on Abbott World.</w:t>
            </w:r>
          </w:p>
          <w:p w14:paraId="1D9A1F07"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rPr>
            </w:pPr>
            <w:r w:rsidRPr="003F3DB0">
              <w:rPr>
                <w:rFonts w:ascii="Calibri" w:eastAsia="Times New Roman" w:hAnsi="Calibri" w:cs="Calibri"/>
              </w:rPr>
              <w:t xml:space="preserve">For </w:t>
            </w:r>
            <w:hyperlink r:id="rId66" w:tgtFrame="_blank" w:history="1">
              <w:r w:rsidRPr="003F3DB0">
                <w:rPr>
                  <w:rStyle w:val="Hyperlink"/>
                  <w:rFonts w:ascii="Calibri" w:eastAsia="Times New Roman" w:hAnsi="Calibri" w:cs="Calibri"/>
                </w:rPr>
                <w:t xml:space="preserve">3PP </w:t>
              </w:r>
              <w:proofErr w:type="spellStart"/>
              <w:r w:rsidRPr="003F3DB0">
                <w:rPr>
                  <w:rStyle w:val="Hyperlink"/>
                  <w:rFonts w:ascii="Calibri" w:eastAsia="Times New Roman" w:hAnsi="Calibri" w:cs="Calibri"/>
                </w:rPr>
                <w:t>Guidelines</w:t>
              </w:r>
              <w:proofErr w:type="spellEnd"/>
            </w:hyperlink>
            <w:r w:rsidRPr="003F3DB0">
              <w:rPr>
                <w:rFonts w:ascii="Calibri" w:eastAsia="Times New Roman" w:hAnsi="Calibri" w:cs="Calibri"/>
              </w:rPr>
              <w:t>.</w:t>
            </w:r>
          </w:p>
          <w:p w14:paraId="3CA5009F"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 xml:space="preserve">For </w:t>
            </w:r>
            <w:hyperlink r:id="rId67" w:tgtFrame="_blank" w:history="1">
              <w:r w:rsidRPr="003F3DB0">
                <w:rPr>
                  <w:rStyle w:val="Hyperlink"/>
                  <w:rFonts w:ascii="Calibri" w:eastAsia="Times New Roman" w:hAnsi="Calibri" w:cs="Calibri"/>
                  <w:lang w:val="en-IE"/>
                </w:rPr>
                <w:t>Due-Diligence screening process</w:t>
              </w:r>
            </w:hyperlink>
            <w:r w:rsidRPr="003F3DB0">
              <w:rPr>
                <w:rFonts w:ascii="Calibri" w:eastAsia="Times New Roman" w:hAnsi="Calibri" w:cs="Calibri"/>
                <w:lang w:val="en-IE"/>
              </w:rPr>
              <w:t>.</w:t>
            </w:r>
          </w:p>
          <w:p w14:paraId="2115ACA1"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Times New Roman" w:hAnsi="Calibri" w:cs="Calibri"/>
                <w:lang w:val="en-IE"/>
              </w:rPr>
              <w:t xml:space="preserve">For 3PP related questions, contact your Local OEC or </w:t>
            </w:r>
            <w:hyperlink r:id="rId68" w:tgtFrame="_blank" w:history="1">
              <w:r w:rsidRPr="003F3DB0">
                <w:rPr>
                  <w:rStyle w:val="Hyperlink"/>
                  <w:rFonts w:ascii="Calibri" w:eastAsia="Times New Roman" w:hAnsi="Calibri" w:cs="Calibri"/>
                  <w:lang w:val="en-IE"/>
                </w:rPr>
                <w:t>3PP team</w:t>
              </w:r>
            </w:hyperlink>
            <w:r w:rsidRPr="003F3DB0">
              <w:rPr>
                <w:rFonts w:ascii="Calibri" w:eastAsia="Times New Roman" w:hAnsi="Calibri" w:cs="Calibri"/>
                <w:lang w:val="en-IE"/>
              </w:rPr>
              <w:t>.</w:t>
            </w:r>
          </w:p>
          <w:p w14:paraId="393FA0C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Course Resources</w:t>
            </w:r>
          </w:p>
          <w:p w14:paraId="590876E4"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Transcript</w:t>
            </w:r>
          </w:p>
          <w:p w14:paraId="34C5FF4A"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Click </w:t>
            </w:r>
            <w:hyperlink r:id="rId69" w:tgtFrame="_blank" w:history="1">
              <w:r w:rsidRPr="003F3DB0">
                <w:rPr>
                  <w:rStyle w:val="Hyperlink"/>
                  <w:rFonts w:ascii="Calibri" w:hAnsi="Calibri" w:cs="Calibri"/>
                  <w:lang w:val="en-IE"/>
                </w:rPr>
                <w:t>here</w:t>
              </w:r>
            </w:hyperlink>
            <w:r w:rsidRPr="003F3DB0">
              <w:rPr>
                <w:rFonts w:ascii="Calibri" w:hAnsi="Calibri" w:cs="Calibri"/>
                <w:lang w:val="en-IE"/>
              </w:rPr>
              <w:t xml:space="preserve"> for a full transcript of the course.</w:t>
            </w:r>
          </w:p>
        </w:tc>
        <w:tc>
          <w:tcPr>
            <w:tcW w:w="6000" w:type="dxa"/>
            <w:vAlign w:val="center"/>
          </w:tcPr>
          <w:p w14:paraId="274F2F2C"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Hvor du kan få hjelp</w:t>
            </w:r>
          </w:p>
          <w:p w14:paraId="23D15FE3"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 xml:space="preserve">Gå til </w:t>
            </w:r>
            <w:hyperlink r:id="rId70" w:tgtFrame="_blank" w:history="1">
              <w:r w:rsidRPr="003F3DB0">
                <w:rPr>
                  <w:rFonts w:ascii="Calibri" w:eastAsia="Calibri" w:hAnsi="Calibri" w:cs="Calibri"/>
                  <w:color w:val="0000FF"/>
                  <w:u w:val="single"/>
                  <w:lang w:val="nb-NO"/>
                </w:rPr>
                <w:t>Tredjepartssamsvar</w:t>
              </w:r>
            </w:hyperlink>
            <w:r w:rsidRPr="003F3DB0">
              <w:rPr>
                <w:rFonts w:ascii="Calibri" w:eastAsia="Calibri" w:hAnsi="Calibri" w:cs="Calibri"/>
                <w:lang w:val="nb-NO"/>
              </w:rPr>
              <w:t>-delen på OEC-nettstedet på Abbott World.</w:t>
            </w:r>
          </w:p>
          <w:p w14:paraId="32584415"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rPr>
            </w:pPr>
            <w:r w:rsidRPr="003F3DB0">
              <w:rPr>
                <w:rFonts w:ascii="Calibri" w:eastAsia="Calibri" w:hAnsi="Calibri" w:cs="Calibri"/>
                <w:lang w:val="nb-NO"/>
              </w:rPr>
              <w:t xml:space="preserve">For </w:t>
            </w:r>
            <w:hyperlink r:id="rId71" w:tgtFrame="_blank" w:history="1">
              <w:r w:rsidRPr="003F3DB0">
                <w:rPr>
                  <w:rFonts w:ascii="Calibri" w:eastAsia="Calibri" w:hAnsi="Calibri" w:cs="Calibri"/>
                  <w:color w:val="0000FF"/>
                  <w:u w:val="single"/>
                  <w:lang w:val="nb-NO"/>
                </w:rPr>
                <w:t>3PP-retningslinjer</w:t>
              </w:r>
            </w:hyperlink>
            <w:r w:rsidRPr="003F3DB0">
              <w:rPr>
                <w:rFonts w:ascii="Calibri" w:eastAsia="Calibri" w:hAnsi="Calibri" w:cs="Calibri"/>
                <w:lang w:val="nb-NO"/>
              </w:rPr>
              <w:t>.</w:t>
            </w:r>
          </w:p>
          <w:p w14:paraId="7F38B171"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 xml:space="preserve">For </w:t>
            </w:r>
            <w:hyperlink r:id="rId72" w:tgtFrame="_blank" w:history="1">
              <w:r w:rsidRPr="003F3DB0">
                <w:rPr>
                  <w:rFonts w:ascii="Calibri" w:eastAsia="Calibri" w:hAnsi="Calibri" w:cs="Calibri"/>
                  <w:color w:val="0000FF"/>
                  <w:u w:val="single"/>
                  <w:lang w:val="nb-NO"/>
                </w:rPr>
                <w:t>Screeningprosess for selskapsgjennomgang</w:t>
              </w:r>
            </w:hyperlink>
            <w:r w:rsidRPr="003F3DB0">
              <w:rPr>
                <w:rFonts w:ascii="Calibri" w:eastAsia="Calibri" w:hAnsi="Calibri" w:cs="Calibri"/>
                <w:lang w:val="nb-NO"/>
              </w:rPr>
              <w:t>.</w:t>
            </w:r>
          </w:p>
          <w:p w14:paraId="3CFC37C2" w14:textId="77777777" w:rsidR="007806C4" w:rsidRPr="003F3DB0" w:rsidRDefault="003F3DB0" w:rsidP="007806C4">
            <w:pPr>
              <w:numPr>
                <w:ilvl w:val="0"/>
                <w:numId w:val="13"/>
              </w:numPr>
              <w:spacing w:before="100" w:beforeAutospacing="1" w:after="100" w:afterAutospacing="1"/>
              <w:ind w:left="750" w:right="30"/>
              <w:rPr>
                <w:rFonts w:ascii="Calibri" w:eastAsia="Times New Roman" w:hAnsi="Calibri" w:cs="Calibri"/>
                <w:lang w:val="en-IE"/>
              </w:rPr>
            </w:pPr>
            <w:r w:rsidRPr="003F3DB0">
              <w:rPr>
                <w:rFonts w:ascii="Calibri" w:eastAsia="Calibri" w:hAnsi="Calibri" w:cs="Calibri"/>
                <w:lang w:val="nb-NO"/>
              </w:rPr>
              <w:t xml:space="preserve">For 3PP-relaterte spørsmål, kontakt ditt lokale OEC eller </w:t>
            </w:r>
            <w:hyperlink r:id="rId73" w:tgtFrame="_blank" w:history="1">
              <w:r w:rsidRPr="003F3DB0">
                <w:rPr>
                  <w:rFonts w:ascii="Calibri" w:eastAsia="Calibri" w:hAnsi="Calibri" w:cs="Calibri"/>
                  <w:color w:val="0000FF"/>
                  <w:u w:val="single"/>
                  <w:lang w:val="nb-NO"/>
                </w:rPr>
                <w:t>3PP-team</w:t>
              </w:r>
            </w:hyperlink>
            <w:r w:rsidRPr="003F3DB0">
              <w:rPr>
                <w:rFonts w:ascii="Calibri" w:eastAsia="Calibri" w:hAnsi="Calibri" w:cs="Calibri"/>
                <w:lang w:val="nb-NO"/>
              </w:rPr>
              <w:t>.</w:t>
            </w:r>
          </w:p>
          <w:p w14:paraId="32F3E31F"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Kursressurser</w:t>
            </w:r>
          </w:p>
          <w:p w14:paraId="515CE757" w14:textId="7777777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Utskrift</w:t>
            </w:r>
          </w:p>
          <w:p w14:paraId="396476A6" w14:textId="7423CE97"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Klikk </w:t>
            </w:r>
            <w:hyperlink r:id="rId74" w:tgtFrame="_blank" w:history="1">
              <w:r w:rsidRPr="003F3DB0">
                <w:rPr>
                  <w:rFonts w:ascii="Calibri" w:eastAsia="Calibri" w:hAnsi="Calibri" w:cs="Calibri"/>
                  <w:color w:val="0000FF"/>
                  <w:u w:val="single"/>
                  <w:lang w:val="nb-NO"/>
                </w:rPr>
                <w:t>her</w:t>
              </w:r>
            </w:hyperlink>
            <w:r w:rsidRPr="003F3DB0">
              <w:rPr>
                <w:rFonts w:ascii="Calibri" w:eastAsia="Calibri" w:hAnsi="Calibri" w:cs="Calibri"/>
                <w:lang w:val="nb-NO"/>
              </w:rPr>
              <w:t xml:space="preserve"> for en full utskrift av dette kurset.</w:t>
            </w:r>
          </w:p>
        </w:tc>
      </w:tr>
      <w:tr w:rsidR="0017386E" w:rsidRPr="003F3DB0"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3F3DB0" w:rsidRDefault="003F3DB0" w:rsidP="007806C4">
            <w:pPr>
              <w:spacing w:before="30" w:after="30"/>
              <w:ind w:left="30" w:right="30"/>
              <w:rPr>
                <w:rFonts w:ascii="Calibri" w:eastAsia="Times New Roman" w:hAnsi="Calibri" w:cs="Calibri"/>
                <w:sz w:val="16"/>
              </w:rPr>
            </w:pPr>
            <w:r w:rsidRPr="003F3DB0">
              <w:rPr>
                <w:rFonts w:ascii="Calibri" w:eastAsia="Times New Roman" w:hAnsi="Calibri" w:cs="Calibri"/>
                <w:sz w:val="16"/>
              </w:rPr>
              <w:t>Screen 58</w:t>
            </w:r>
          </w:p>
          <w:p w14:paraId="72D080BC" w14:textId="77777777" w:rsidR="007806C4" w:rsidRPr="003F3DB0" w:rsidRDefault="003F3DB0" w:rsidP="007806C4">
            <w:pPr>
              <w:pStyle w:val="NormalWeb"/>
              <w:ind w:left="30" w:right="30"/>
              <w:rPr>
                <w:rFonts w:ascii="Calibri" w:hAnsi="Calibri" w:cs="Calibri"/>
                <w:sz w:val="16"/>
              </w:rPr>
            </w:pPr>
            <w:r w:rsidRPr="003F3DB0">
              <w:rPr>
                <w:rFonts w:ascii="Calibri" w:hAnsi="Calibri" w:cs="Calibri"/>
                <w:sz w:val="16"/>
              </w:rPr>
              <w:t>Question 1: Scenario</w:t>
            </w:r>
          </w:p>
          <w:p w14:paraId="43E7A7DB" w14:textId="77777777" w:rsidR="007806C4" w:rsidRPr="003F3DB0" w:rsidRDefault="003F3DB0" w:rsidP="007806C4">
            <w:pPr>
              <w:ind w:left="30" w:right="30"/>
              <w:rPr>
                <w:rFonts w:ascii="Calibri" w:eastAsia="Times New Roman" w:hAnsi="Calibri" w:cs="Calibri"/>
                <w:sz w:val="16"/>
              </w:rPr>
            </w:pPr>
            <w:r w:rsidRPr="003F3DB0">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3F3DB0" w:rsidRDefault="003F3DB0" w:rsidP="007806C4">
            <w:pPr>
              <w:pStyle w:val="NormalWeb"/>
              <w:ind w:right="30"/>
              <w:rPr>
                <w:rFonts w:ascii="Calibri" w:hAnsi="Calibri" w:cs="Calibri"/>
                <w:lang w:val="en-IE"/>
              </w:rPr>
            </w:pPr>
            <w:r w:rsidRPr="003F3DB0">
              <w:rPr>
                <w:rFonts w:ascii="Calibri" w:hAnsi="Calibri" w:cs="Calibri"/>
                <w:lang w:val="en-IE"/>
              </w:rPr>
              <w:t>Next</w:t>
            </w:r>
          </w:p>
          <w:p w14:paraId="7D50D960" w14:textId="5BC00997" w:rsidR="007806C4" w:rsidRPr="003F3DB0" w:rsidRDefault="003F3DB0" w:rsidP="007806C4">
            <w:pPr>
              <w:pStyle w:val="NormalWeb"/>
              <w:ind w:right="30"/>
              <w:rPr>
                <w:rFonts w:ascii="Calibri" w:hAnsi="Calibri" w:cs="Calibri"/>
                <w:lang w:val="en-IE"/>
              </w:rPr>
            </w:pPr>
            <w:r w:rsidRPr="003F3DB0">
              <w:rPr>
                <w:rFonts w:ascii="Calibri" w:hAnsi="Calibri" w:cs="Calibri"/>
                <w:lang w:val="en-IE"/>
              </w:rPr>
              <w:t>Please retake the questions indicated.</w:t>
            </w:r>
          </w:p>
        </w:tc>
        <w:tc>
          <w:tcPr>
            <w:tcW w:w="6000" w:type="dxa"/>
            <w:vAlign w:val="center"/>
          </w:tcPr>
          <w:p w14:paraId="1CB97CD4" w14:textId="77777777" w:rsidR="007806C4" w:rsidRPr="003F3DB0" w:rsidRDefault="003F3DB0" w:rsidP="007806C4">
            <w:pPr>
              <w:pStyle w:val="NormalWeb"/>
              <w:ind w:right="30"/>
              <w:rPr>
                <w:rFonts w:ascii="Calibri" w:hAnsi="Calibri" w:cs="Calibri"/>
                <w:lang w:val="en-IE"/>
              </w:rPr>
            </w:pPr>
            <w:r w:rsidRPr="003F3DB0">
              <w:rPr>
                <w:rFonts w:ascii="Calibri" w:eastAsia="Calibri" w:hAnsi="Calibri" w:cs="Calibri"/>
                <w:lang w:val="nb-NO"/>
              </w:rPr>
              <w:t>Neste</w:t>
            </w:r>
          </w:p>
          <w:p w14:paraId="658432F5" w14:textId="12F6A22B"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Ta spørsmålene som er indikert på nytt.</w:t>
            </w:r>
          </w:p>
        </w:tc>
      </w:tr>
      <w:tr w:rsidR="0017386E" w:rsidRPr="003F3DB0"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3F3DB0" w:rsidRDefault="00A64CD0" w:rsidP="007806C4">
            <w:pPr>
              <w:spacing w:before="30" w:after="30"/>
              <w:ind w:left="30" w:right="30"/>
              <w:rPr>
                <w:rFonts w:ascii="Calibri" w:eastAsia="Times New Roman" w:hAnsi="Calibri" w:cs="Calibri"/>
                <w:sz w:val="16"/>
              </w:rPr>
            </w:pPr>
            <w:hyperlink r:id="rId75" w:tgtFrame="_blank" w:history="1">
              <w:r w:rsidR="003F3DB0" w:rsidRPr="003F3DB0">
                <w:rPr>
                  <w:rStyle w:val="Hyperlink"/>
                  <w:rFonts w:ascii="Calibri" w:eastAsia="Times New Roman" w:hAnsi="Calibri" w:cs="Calibri"/>
                  <w:sz w:val="16"/>
                </w:rPr>
                <w:t>Screen 59</w:t>
              </w:r>
            </w:hyperlink>
            <w:r w:rsidR="003F3DB0" w:rsidRPr="003F3DB0">
              <w:rPr>
                <w:rFonts w:ascii="Calibri" w:eastAsia="Times New Roman" w:hAnsi="Calibri" w:cs="Calibri"/>
                <w:sz w:val="16"/>
              </w:rPr>
              <w:t xml:space="preserve"> </w:t>
            </w:r>
          </w:p>
          <w:p w14:paraId="7FAB7B2E" w14:textId="77777777" w:rsidR="007806C4" w:rsidRPr="003F3DB0" w:rsidRDefault="00A64CD0" w:rsidP="007806C4">
            <w:pPr>
              <w:ind w:left="30" w:right="30"/>
              <w:rPr>
                <w:rFonts w:ascii="Calibri" w:eastAsia="Times New Roman" w:hAnsi="Calibri" w:cs="Calibri"/>
                <w:sz w:val="16"/>
              </w:rPr>
            </w:pPr>
            <w:hyperlink r:id="rId76" w:tgtFrame="_blank" w:history="1">
              <w:r w:rsidR="003F3DB0" w:rsidRPr="003F3DB0">
                <w:rPr>
                  <w:rStyle w:val="Hyperlink"/>
                  <w:rFonts w:ascii="Calibri" w:eastAsia="Times New Roman" w:hAnsi="Calibri" w:cs="Calibri"/>
                  <w:sz w:val="16"/>
                </w:rPr>
                <w:t>63_C_66</w:t>
              </w:r>
            </w:hyperlink>
            <w:r w:rsidR="003F3DB0" w:rsidRPr="003F3DB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 xml:space="preserve">When you are done, click the </w:t>
            </w:r>
            <w:r w:rsidRPr="003F3DB0">
              <w:rPr>
                <w:rStyle w:val="bold1"/>
                <w:rFonts w:ascii="Calibri" w:hAnsi="Calibri" w:cs="Calibri"/>
                <w:lang w:val="en-IE"/>
              </w:rPr>
              <w:t>Retake</w:t>
            </w:r>
            <w:r w:rsidRPr="003F3DB0">
              <w:rPr>
                <w:rFonts w:ascii="Calibri" w:hAnsi="Calibri" w:cs="Calibri"/>
                <w:lang w:val="en-IE"/>
              </w:rPr>
              <w:t xml:space="preserve"> button.</w:t>
            </w:r>
          </w:p>
        </w:tc>
        <w:tc>
          <w:tcPr>
            <w:tcW w:w="6000" w:type="dxa"/>
            <w:vAlign w:val="center"/>
          </w:tcPr>
          <w:p w14:paraId="7554AA57" w14:textId="1AB7F43C"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 xml:space="preserve">Når du er ferdig, trykker du på </w:t>
            </w:r>
            <w:r w:rsidRPr="003F3DB0">
              <w:rPr>
                <w:rFonts w:ascii="Calibri" w:eastAsia="Calibri" w:hAnsi="Calibri" w:cs="Calibri"/>
                <w:b/>
                <w:bCs/>
                <w:lang w:val="nb-NO"/>
              </w:rPr>
              <w:t>Ta på nytt</w:t>
            </w:r>
            <w:r w:rsidRPr="003F3DB0">
              <w:rPr>
                <w:rFonts w:ascii="Calibri" w:eastAsia="Calibri" w:hAnsi="Calibri" w:cs="Calibri"/>
                <w:lang w:val="nb-NO"/>
              </w:rPr>
              <w:t>.</w:t>
            </w:r>
          </w:p>
        </w:tc>
      </w:tr>
      <w:tr w:rsidR="0017386E" w:rsidRPr="003F3DB0"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3F3DB0" w:rsidRDefault="003F3DB0" w:rsidP="007806C4">
            <w:pPr>
              <w:spacing w:before="30" w:after="30"/>
              <w:ind w:left="30" w:right="30"/>
              <w:rPr>
                <w:rFonts w:ascii="Calibri" w:eastAsia="Times New Roman" w:hAnsi="Calibri" w:cs="Calibri"/>
                <w:sz w:val="16"/>
              </w:rPr>
            </w:pPr>
            <w:r w:rsidRPr="003F3DB0">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3F3DB0" w:rsidRDefault="003F3DB0" w:rsidP="007806C4">
            <w:pPr>
              <w:pStyle w:val="NormalWeb"/>
              <w:ind w:left="30" w:right="30"/>
              <w:rPr>
                <w:rFonts w:ascii="Calibri" w:hAnsi="Calibri" w:cs="Calibri"/>
              </w:rPr>
            </w:pPr>
            <w:r w:rsidRPr="003F3DB0">
              <w:rPr>
                <w:rFonts w:ascii="Calibri" w:hAnsi="Calibri" w:cs="Calibri"/>
              </w:rPr>
              <w:t>Menu</w:t>
            </w:r>
          </w:p>
        </w:tc>
        <w:tc>
          <w:tcPr>
            <w:tcW w:w="6000" w:type="dxa"/>
            <w:vAlign w:val="center"/>
          </w:tcPr>
          <w:p w14:paraId="42E55B8E" w14:textId="1E216682"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Meny</w:t>
            </w:r>
          </w:p>
        </w:tc>
      </w:tr>
      <w:tr w:rsidR="0017386E" w:rsidRPr="003F3DB0"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3F3DB0" w:rsidRDefault="003F3DB0" w:rsidP="007806C4">
            <w:pPr>
              <w:spacing w:before="30" w:after="30"/>
              <w:ind w:left="30" w:right="30"/>
              <w:rPr>
                <w:rFonts w:ascii="Calibri" w:eastAsia="Times New Roman" w:hAnsi="Calibri" w:cs="Calibri"/>
                <w:sz w:val="16"/>
              </w:rPr>
            </w:pPr>
            <w:r w:rsidRPr="003F3DB0">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3F3DB0" w:rsidRDefault="003F3DB0" w:rsidP="007806C4">
            <w:pPr>
              <w:pStyle w:val="NormalWeb"/>
              <w:ind w:left="30" w:right="30"/>
              <w:rPr>
                <w:rFonts w:ascii="Calibri" w:hAnsi="Calibri" w:cs="Calibri"/>
              </w:rPr>
            </w:pPr>
            <w:r w:rsidRPr="003F3DB0">
              <w:rPr>
                <w:rFonts w:ascii="Calibri" w:hAnsi="Calibri" w:cs="Calibri"/>
              </w:rPr>
              <w:t>Review</w:t>
            </w:r>
          </w:p>
        </w:tc>
        <w:tc>
          <w:tcPr>
            <w:tcW w:w="6000" w:type="dxa"/>
            <w:vAlign w:val="center"/>
          </w:tcPr>
          <w:p w14:paraId="65916AED" w14:textId="0266525C"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Gjennomgang</w:t>
            </w:r>
          </w:p>
        </w:tc>
      </w:tr>
      <w:tr w:rsidR="0017386E" w:rsidRPr="003F3DB0"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3F3DB0" w:rsidRDefault="003F3DB0" w:rsidP="007806C4">
            <w:pPr>
              <w:spacing w:before="30" w:after="30"/>
              <w:ind w:left="30" w:right="30"/>
              <w:rPr>
                <w:rFonts w:ascii="Calibri" w:eastAsia="Times New Roman" w:hAnsi="Calibri" w:cs="Calibri"/>
                <w:sz w:val="16"/>
              </w:rPr>
            </w:pPr>
            <w:r w:rsidRPr="003F3DB0">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3F3DB0" w:rsidRDefault="003F3DB0" w:rsidP="007806C4">
            <w:pPr>
              <w:pStyle w:val="NormalWeb"/>
              <w:ind w:left="30" w:right="30"/>
              <w:rPr>
                <w:rFonts w:ascii="Calibri" w:hAnsi="Calibri" w:cs="Calibri"/>
              </w:rPr>
            </w:pPr>
            <w:r w:rsidRPr="003F3DB0">
              <w:rPr>
                <w:rFonts w:ascii="Calibri" w:hAnsi="Calibri" w:cs="Calibri"/>
              </w:rPr>
              <w:t>Retake</w:t>
            </w:r>
          </w:p>
        </w:tc>
        <w:tc>
          <w:tcPr>
            <w:tcW w:w="6000" w:type="dxa"/>
            <w:vAlign w:val="center"/>
          </w:tcPr>
          <w:p w14:paraId="7A18CBB9" w14:textId="2A7251B0" w:rsidR="007806C4" w:rsidRPr="003F3DB0" w:rsidRDefault="003F3DB0" w:rsidP="007806C4">
            <w:pPr>
              <w:pStyle w:val="NormalWeb"/>
              <w:ind w:left="30" w:right="30"/>
              <w:rPr>
                <w:rFonts w:ascii="Calibri" w:hAnsi="Calibri" w:cs="Calibri"/>
              </w:rPr>
            </w:pPr>
            <w:r w:rsidRPr="003F3DB0">
              <w:rPr>
                <w:rFonts w:ascii="Calibri" w:eastAsia="Calibri" w:hAnsi="Calibri" w:cs="Calibri"/>
                <w:lang w:val="nb-NO"/>
              </w:rPr>
              <w:t>Ta på nytt</w:t>
            </w:r>
          </w:p>
        </w:tc>
      </w:tr>
      <w:tr w:rsidR="0017386E" w:rsidRPr="003F3DB0"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3F3DB0" w:rsidRDefault="003F3DB0" w:rsidP="007806C4">
            <w:pPr>
              <w:spacing w:before="30" w:after="30"/>
              <w:ind w:left="30" w:right="30"/>
              <w:rPr>
                <w:rFonts w:ascii="Calibri" w:eastAsia="Times New Roman" w:hAnsi="Calibri" w:cs="Calibri"/>
                <w:sz w:val="16"/>
              </w:rPr>
            </w:pPr>
            <w:r w:rsidRPr="003F3DB0">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3F3DB0" w:rsidRDefault="003F3DB0" w:rsidP="007806C4">
            <w:pPr>
              <w:pStyle w:val="NormalWeb"/>
              <w:ind w:left="30" w:right="30"/>
              <w:rPr>
                <w:rFonts w:ascii="Calibri" w:hAnsi="Calibri" w:cs="Calibri"/>
                <w:lang w:val="en-IE"/>
              </w:rPr>
            </w:pPr>
            <w:r w:rsidRPr="003F3DB0">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3F3DB0" w:rsidRDefault="003F3DB0" w:rsidP="007806C4">
            <w:pPr>
              <w:pStyle w:val="NormalWeb"/>
              <w:ind w:left="30" w:right="30"/>
              <w:rPr>
                <w:rFonts w:ascii="Calibri" w:hAnsi="Calibri" w:cs="Calibri"/>
                <w:lang w:val="en-IE"/>
              </w:rPr>
            </w:pPr>
            <w:r w:rsidRPr="003F3DB0">
              <w:rPr>
                <w:rFonts w:ascii="Calibri" w:eastAsia="Calibri" w:hAnsi="Calibri" w:cs="Calibri"/>
                <w:lang w:val="nb-NO"/>
              </w:rPr>
              <w:t>Dette kurset definerer bestikkelse, beskriver antibestikkelseslovene som eksisterer globalt for beskyttelse av det felles beste, og viser Abbotts prinsipper som er utformet for å forebygge bestikkelse og korrupsjon. Dette kurset viser også konsekvensene av å bryte antibestikkelseslovene og Abbotts prinsipper, og beskriver hva hver av oss kan gjøre for å sikre at vi fortsetter å drive virksomhet på riktig måte.</w:t>
            </w:r>
          </w:p>
        </w:tc>
      </w:tr>
    </w:tbl>
    <w:p w14:paraId="6D52C1B9" w14:textId="77777777" w:rsidR="00D45309" w:rsidRPr="003F3DB0" w:rsidRDefault="00D45309">
      <w:pPr>
        <w:rPr>
          <w:rFonts w:eastAsia="Times New Roman"/>
        </w:rPr>
      </w:pPr>
    </w:p>
    <w:sectPr w:rsidR="00D45309" w:rsidRPr="003F3DB0"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71228A60">
      <w:start w:val="1"/>
      <w:numFmt w:val="decimal"/>
      <w:lvlText w:val="%1."/>
      <w:lvlJc w:val="left"/>
      <w:pPr>
        <w:ind w:left="720" w:hanging="360"/>
      </w:pPr>
    </w:lvl>
    <w:lvl w:ilvl="1" w:tplc="F4306894">
      <w:start w:val="1"/>
      <w:numFmt w:val="lowerLetter"/>
      <w:lvlText w:val="%2."/>
      <w:lvlJc w:val="left"/>
      <w:pPr>
        <w:ind w:left="1440" w:hanging="360"/>
      </w:pPr>
    </w:lvl>
    <w:lvl w:ilvl="2" w:tplc="734CB73E" w:tentative="1">
      <w:start w:val="1"/>
      <w:numFmt w:val="lowerRoman"/>
      <w:lvlText w:val="%3."/>
      <w:lvlJc w:val="right"/>
      <w:pPr>
        <w:ind w:left="2160" w:hanging="180"/>
      </w:pPr>
    </w:lvl>
    <w:lvl w:ilvl="3" w:tplc="66568468" w:tentative="1">
      <w:start w:val="1"/>
      <w:numFmt w:val="decimal"/>
      <w:lvlText w:val="%4."/>
      <w:lvlJc w:val="left"/>
      <w:pPr>
        <w:ind w:left="2880" w:hanging="360"/>
      </w:pPr>
    </w:lvl>
    <w:lvl w:ilvl="4" w:tplc="2B3AD42C" w:tentative="1">
      <w:start w:val="1"/>
      <w:numFmt w:val="lowerLetter"/>
      <w:lvlText w:val="%5."/>
      <w:lvlJc w:val="left"/>
      <w:pPr>
        <w:ind w:left="3600" w:hanging="360"/>
      </w:pPr>
    </w:lvl>
    <w:lvl w:ilvl="5" w:tplc="5328A81E" w:tentative="1">
      <w:start w:val="1"/>
      <w:numFmt w:val="lowerRoman"/>
      <w:lvlText w:val="%6."/>
      <w:lvlJc w:val="right"/>
      <w:pPr>
        <w:ind w:left="4320" w:hanging="180"/>
      </w:pPr>
    </w:lvl>
    <w:lvl w:ilvl="6" w:tplc="2E0C0164" w:tentative="1">
      <w:start w:val="1"/>
      <w:numFmt w:val="decimal"/>
      <w:lvlText w:val="%7."/>
      <w:lvlJc w:val="left"/>
      <w:pPr>
        <w:ind w:left="5040" w:hanging="360"/>
      </w:pPr>
    </w:lvl>
    <w:lvl w:ilvl="7" w:tplc="A7FAA61E" w:tentative="1">
      <w:start w:val="1"/>
      <w:numFmt w:val="lowerLetter"/>
      <w:lvlText w:val="%8."/>
      <w:lvlJc w:val="left"/>
      <w:pPr>
        <w:ind w:left="5760" w:hanging="360"/>
      </w:pPr>
    </w:lvl>
    <w:lvl w:ilvl="8" w:tplc="51BE7DDE"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D5AA681C">
      <w:start w:val="1"/>
      <w:numFmt w:val="decimal"/>
      <w:lvlText w:val="%1."/>
      <w:lvlJc w:val="left"/>
      <w:pPr>
        <w:ind w:left="720" w:hanging="360"/>
      </w:pPr>
    </w:lvl>
    <w:lvl w:ilvl="1" w:tplc="98D260CA">
      <w:start w:val="1"/>
      <w:numFmt w:val="bullet"/>
      <w:lvlText w:val=""/>
      <w:lvlJc w:val="left"/>
      <w:pPr>
        <w:ind w:left="1440" w:hanging="360"/>
      </w:pPr>
      <w:rPr>
        <w:rFonts w:ascii="Symbol" w:hAnsi="Symbol" w:hint="default"/>
      </w:rPr>
    </w:lvl>
    <w:lvl w:ilvl="2" w:tplc="C248EDD6" w:tentative="1">
      <w:start w:val="1"/>
      <w:numFmt w:val="lowerRoman"/>
      <w:lvlText w:val="%3."/>
      <w:lvlJc w:val="right"/>
      <w:pPr>
        <w:ind w:left="2160" w:hanging="180"/>
      </w:pPr>
    </w:lvl>
    <w:lvl w:ilvl="3" w:tplc="F006A3E6" w:tentative="1">
      <w:start w:val="1"/>
      <w:numFmt w:val="decimal"/>
      <w:lvlText w:val="%4."/>
      <w:lvlJc w:val="left"/>
      <w:pPr>
        <w:ind w:left="2880" w:hanging="360"/>
      </w:pPr>
    </w:lvl>
    <w:lvl w:ilvl="4" w:tplc="5D8E752C" w:tentative="1">
      <w:start w:val="1"/>
      <w:numFmt w:val="lowerLetter"/>
      <w:lvlText w:val="%5."/>
      <w:lvlJc w:val="left"/>
      <w:pPr>
        <w:ind w:left="3600" w:hanging="360"/>
      </w:pPr>
    </w:lvl>
    <w:lvl w:ilvl="5" w:tplc="9ED6FC36" w:tentative="1">
      <w:start w:val="1"/>
      <w:numFmt w:val="lowerRoman"/>
      <w:lvlText w:val="%6."/>
      <w:lvlJc w:val="right"/>
      <w:pPr>
        <w:ind w:left="4320" w:hanging="180"/>
      </w:pPr>
    </w:lvl>
    <w:lvl w:ilvl="6" w:tplc="6AB03FC0" w:tentative="1">
      <w:start w:val="1"/>
      <w:numFmt w:val="decimal"/>
      <w:lvlText w:val="%7."/>
      <w:lvlJc w:val="left"/>
      <w:pPr>
        <w:ind w:left="5040" w:hanging="360"/>
      </w:pPr>
    </w:lvl>
    <w:lvl w:ilvl="7" w:tplc="23F2836E" w:tentative="1">
      <w:start w:val="1"/>
      <w:numFmt w:val="lowerLetter"/>
      <w:lvlText w:val="%8."/>
      <w:lvlJc w:val="left"/>
      <w:pPr>
        <w:ind w:left="5760" w:hanging="360"/>
      </w:pPr>
    </w:lvl>
    <w:lvl w:ilvl="8" w:tplc="9080263C"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762986">
    <w:abstractNumId w:val="10"/>
  </w:num>
  <w:num w:numId="2" w16cid:durableId="2002270021">
    <w:abstractNumId w:val="9"/>
  </w:num>
  <w:num w:numId="3" w16cid:durableId="41296991">
    <w:abstractNumId w:val="11"/>
  </w:num>
  <w:num w:numId="4" w16cid:durableId="1824394363">
    <w:abstractNumId w:val="7"/>
  </w:num>
  <w:num w:numId="5" w16cid:durableId="510265008">
    <w:abstractNumId w:val="13"/>
  </w:num>
  <w:num w:numId="6" w16cid:durableId="754597525">
    <w:abstractNumId w:val="6"/>
  </w:num>
  <w:num w:numId="7" w16cid:durableId="656497780">
    <w:abstractNumId w:val="3"/>
  </w:num>
  <w:num w:numId="8" w16cid:durableId="1015837897">
    <w:abstractNumId w:val="16"/>
  </w:num>
  <w:num w:numId="9" w16cid:durableId="1804812773">
    <w:abstractNumId w:val="1"/>
  </w:num>
  <w:num w:numId="10" w16cid:durableId="141511481">
    <w:abstractNumId w:val="5"/>
  </w:num>
  <w:num w:numId="11" w16cid:durableId="86196864">
    <w:abstractNumId w:val="4"/>
  </w:num>
  <w:num w:numId="12" w16cid:durableId="785853679">
    <w:abstractNumId w:val="14"/>
  </w:num>
  <w:num w:numId="13" w16cid:durableId="210849799">
    <w:abstractNumId w:val="0"/>
  </w:num>
  <w:num w:numId="14" w16cid:durableId="1541669708">
    <w:abstractNumId w:val="2"/>
  </w:num>
  <w:num w:numId="15" w16cid:durableId="1567183857">
    <w:abstractNumId w:val="12"/>
  </w:num>
  <w:num w:numId="16" w16cid:durableId="651570182">
    <w:abstractNumId w:val="8"/>
  </w:num>
  <w:num w:numId="17" w16cid:durableId="3868753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7386E"/>
    <w:rsid w:val="001A2B7D"/>
    <w:rsid w:val="002E6638"/>
    <w:rsid w:val="002F29F9"/>
    <w:rsid w:val="00307C18"/>
    <w:rsid w:val="003F3DB0"/>
    <w:rsid w:val="0042556C"/>
    <w:rsid w:val="00523368"/>
    <w:rsid w:val="007806C4"/>
    <w:rsid w:val="007D2FD2"/>
    <w:rsid w:val="00800C70"/>
    <w:rsid w:val="009F3A12"/>
    <w:rsid w:val="00A03957"/>
    <w:rsid w:val="00A64CD0"/>
    <w:rsid w:val="00B14D93"/>
    <w:rsid w:val="00D45309"/>
    <w:rsid w:val="00D9327E"/>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A64CD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22</Pages>
  <Words>5407</Words>
  <Characters>38073</Characters>
  <Application>Microsoft Office Word</Application>
  <DocSecurity>0</DocSecurity>
  <Lines>317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18</cp:revision>
  <dcterms:created xsi:type="dcterms:W3CDTF">2023-02-24T13:13:00Z</dcterms:created>
  <dcterms:modified xsi:type="dcterms:W3CDTF">2023-03-09T12:00:00Z</dcterms:modified>
</cp:coreProperties>
</file>