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7C44A2" w14:paraId="0C466AD6" w14:textId="77777777">
        <w:tc>
          <w:tcPr>
            <w:tcW w:w="1129" w:type="dxa"/>
            <w:shd w:val="clear" w:color="auto" w:fill="F4B083" w:themeFill="accent2" w:themeFillTint="99"/>
            <w:tcMar>
              <w:top w:w="120" w:type="dxa"/>
              <w:left w:w="180" w:type="dxa"/>
              <w:bottom w:w="120" w:type="dxa"/>
              <w:right w:w="180" w:type="dxa"/>
            </w:tcMar>
          </w:tcPr>
          <w:p w14:paraId="0C466AD3" w14:textId="77777777" w:rsidR="007C44A2" w:rsidRDefault="00402097">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0C466AD4" w14:textId="77777777" w:rsidR="007C44A2" w:rsidRDefault="00402097">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0C466AD5" w14:textId="77777777" w:rsidR="007C44A2" w:rsidRDefault="00402097">
            <w:pPr>
              <w:spacing w:before="30" w:after="30"/>
              <w:ind w:left="30" w:right="30"/>
              <w:jc w:val="center"/>
              <w:rPr>
                <w:rFonts w:ascii="Calibri" w:eastAsia="Times New Roman" w:hAnsi="Calibri" w:cs="Calibri"/>
                <w:lang w:val="en-US"/>
              </w:rPr>
            </w:pPr>
            <w:r>
              <w:rPr>
                <w:rFonts w:ascii="Calibri" w:eastAsia="Times New Roman" w:hAnsi="Calibri" w:cs="Calibri"/>
                <w:lang w:val="en-US"/>
              </w:rPr>
              <w:t>Target</w:t>
            </w:r>
          </w:p>
        </w:tc>
      </w:tr>
      <w:tr w:rsidR="007C44A2" w14:paraId="0C466ADA" w14:textId="77777777">
        <w:tc>
          <w:tcPr>
            <w:tcW w:w="1129" w:type="dxa"/>
            <w:shd w:val="clear" w:color="auto" w:fill="D9E2F3" w:themeFill="accent1" w:themeFillTint="33"/>
            <w:tcMar>
              <w:top w:w="120" w:type="dxa"/>
              <w:left w:w="180" w:type="dxa"/>
              <w:bottom w:w="120" w:type="dxa"/>
              <w:right w:w="180" w:type="dxa"/>
            </w:tcMar>
            <w:hideMark/>
          </w:tcPr>
          <w:p w14:paraId="0C466AD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0C466AD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0C466AD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Konflik Kepentingan</w:t>
            </w:r>
          </w:p>
        </w:tc>
      </w:tr>
      <w:tr w:rsidR="007C44A2" w14:paraId="0C466ADE" w14:textId="77777777">
        <w:tc>
          <w:tcPr>
            <w:tcW w:w="1129" w:type="dxa"/>
            <w:shd w:val="clear" w:color="auto" w:fill="D9E2F3" w:themeFill="accent1" w:themeFillTint="33"/>
            <w:tcMar>
              <w:top w:w="120" w:type="dxa"/>
              <w:left w:w="180" w:type="dxa"/>
              <w:bottom w:w="120" w:type="dxa"/>
              <w:right w:w="180" w:type="dxa"/>
            </w:tcMar>
            <w:hideMark/>
          </w:tcPr>
          <w:p w14:paraId="0C466AD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0C466AD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0C466AD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panah maju untuk memulai.</w:t>
            </w:r>
          </w:p>
        </w:tc>
      </w:tr>
      <w:tr w:rsidR="007C44A2" w14:paraId="0C466AE2" w14:textId="77777777">
        <w:tc>
          <w:tcPr>
            <w:tcW w:w="1129" w:type="dxa"/>
            <w:shd w:val="clear" w:color="auto" w:fill="D9E2F3" w:themeFill="accent1" w:themeFillTint="33"/>
            <w:tcMar>
              <w:top w:w="120" w:type="dxa"/>
              <w:left w:w="180" w:type="dxa"/>
              <w:bottom w:w="120" w:type="dxa"/>
              <w:right w:w="180" w:type="dxa"/>
            </w:tcMar>
            <w:hideMark/>
          </w:tcPr>
          <w:p w14:paraId="0C466AD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C466AE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0C466AE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MENU</w:t>
            </w:r>
          </w:p>
        </w:tc>
      </w:tr>
      <w:tr w:rsidR="007C44A2" w14:paraId="0C466AE6" w14:textId="77777777">
        <w:tc>
          <w:tcPr>
            <w:tcW w:w="1129" w:type="dxa"/>
            <w:shd w:val="clear" w:color="auto" w:fill="D9E2F3" w:themeFill="accent1" w:themeFillTint="33"/>
            <w:tcMar>
              <w:top w:w="120" w:type="dxa"/>
              <w:left w:w="180" w:type="dxa"/>
              <w:bottom w:w="120" w:type="dxa"/>
              <w:right w:w="180" w:type="dxa"/>
            </w:tcMar>
            <w:hideMark/>
          </w:tcPr>
          <w:p w14:paraId="0C466AE3" w14:textId="77777777" w:rsidR="007C44A2" w:rsidRDefault="00402097">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C466AE4" w14:textId="77777777" w:rsidR="007C44A2" w:rsidRDefault="00402097">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0C466AE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1 | Dampak Konflik Kepentingan</w:t>
            </w:r>
          </w:p>
        </w:tc>
      </w:tr>
      <w:tr w:rsidR="007C44A2" w14:paraId="0C466AEA" w14:textId="77777777">
        <w:tc>
          <w:tcPr>
            <w:tcW w:w="1129" w:type="dxa"/>
            <w:shd w:val="clear" w:color="auto" w:fill="D9E2F3" w:themeFill="accent1" w:themeFillTint="33"/>
            <w:tcMar>
              <w:top w:w="120" w:type="dxa"/>
              <w:left w:w="180" w:type="dxa"/>
              <w:bottom w:w="120" w:type="dxa"/>
              <w:right w:w="180" w:type="dxa"/>
            </w:tcMar>
          </w:tcPr>
          <w:p w14:paraId="0C466AE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0C466AE8" w14:textId="77777777" w:rsidR="007C44A2" w:rsidRDefault="00402097">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0C466AE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Bagian 1 | Dampak Konflik Kepentingan</w:t>
            </w:r>
          </w:p>
        </w:tc>
      </w:tr>
      <w:tr w:rsidR="007C44A2" w14:paraId="0C466AEE" w14:textId="77777777">
        <w:tc>
          <w:tcPr>
            <w:tcW w:w="1129" w:type="dxa"/>
            <w:shd w:val="clear" w:color="auto" w:fill="D9E2F3" w:themeFill="accent1" w:themeFillTint="33"/>
            <w:tcMar>
              <w:top w:w="120" w:type="dxa"/>
              <w:left w:w="180" w:type="dxa"/>
              <w:bottom w:w="120" w:type="dxa"/>
              <w:right w:w="180" w:type="dxa"/>
            </w:tcMar>
            <w:hideMark/>
          </w:tcPr>
          <w:p w14:paraId="0C466AE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0C466AE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0C466AE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Di sini, Anda akan mempelajari pengertian konflik </w:t>
            </w:r>
            <w:r>
              <w:rPr>
                <w:rFonts w:ascii="Calibri" w:eastAsia="Calibri" w:hAnsi="Calibri" w:cs="Calibri"/>
                <w:lang w:val="id-ID"/>
              </w:rPr>
              <w:t>kepentingan dan mengapa konflik kepentingan harus dihindari.</w:t>
            </w:r>
          </w:p>
        </w:tc>
      </w:tr>
      <w:tr w:rsidR="007C44A2" w14:paraId="0C466AF2" w14:textId="77777777">
        <w:tc>
          <w:tcPr>
            <w:tcW w:w="1129" w:type="dxa"/>
            <w:shd w:val="clear" w:color="auto" w:fill="D9E2F3" w:themeFill="accent1" w:themeFillTint="33"/>
            <w:tcMar>
              <w:top w:w="120" w:type="dxa"/>
              <w:left w:w="180" w:type="dxa"/>
              <w:bottom w:w="120" w:type="dxa"/>
              <w:right w:w="180" w:type="dxa"/>
            </w:tcMar>
            <w:hideMark/>
          </w:tcPr>
          <w:p w14:paraId="0C466AE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0C466AF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0C466AF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3 menit</w:t>
            </w:r>
          </w:p>
        </w:tc>
      </w:tr>
      <w:tr w:rsidR="007C44A2" w14:paraId="0C466AF6" w14:textId="77777777">
        <w:tc>
          <w:tcPr>
            <w:tcW w:w="1129" w:type="dxa"/>
            <w:shd w:val="clear" w:color="auto" w:fill="D9E2F3" w:themeFill="accent1" w:themeFillTint="33"/>
            <w:tcMar>
              <w:top w:w="120" w:type="dxa"/>
              <w:left w:w="180" w:type="dxa"/>
              <w:bottom w:w="120" w:type="dxa"/>
              <w:right w:w="180" w:type="dxa"/>
            </w:tcMar>
            <w:hideMark/>
          </w:tcPr>
          <w:p w14:paraId="0C466AF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0C466AF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0C466AF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Definisi Konflik Kepentingan</w:t>
            </w:r>
          </w:p>
        </w:tc>
      </w:tr>
      <w:tr w:rsidR="007C44A2" w14:paraId="0C466AFA" w14:textId="77777777">
        <w:tc>
          <w:tcPr>
            <w:tcW w:w="1129" w:type="dxa"/>
            <w:shd w:val="clear" w:color="auto" w:fill="D9E2F3" w:themeFill="accent1" w:themeFillTint="33"/>
            <w:tcMar>
              <w:top w:w="120" w:type="dxa"/>
              <w:left w:w="180" w:type="dxa"/>
              <w:bottom w:w="120" w:type="dxa"/>
              <w:right w:w="180" w:type="dxa"/>
            </w:tcMar>
            <w:hideMark/>
          </w:tcPr>
          <w:p w14:paraId="0C466AF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0C466AF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0C466AF9" w14:textId="77777777" w:rsidR="007C44A2" w:rsidRDefault="00402097">
            <w:pPr>
              <w:spacing w:before="30" w:after="30"/>
              <w:ind w:left="30" w:right="30"/>
              <w:rPr>
                <w:rFonts w:ascii="Calibri" w:eastAsia="Times New Roman" w:hAnsi="Calibri" w:cs="Calibri"/>
                <w:lang w:val="it-IT"/>
              </w:rPr>
            </w:pPr>
            <w:r>
              <w:rPr>
                <w:rFonts w:ascii="Calibri" w:eastAsia="Calibri" w:hAnsi="Calibri" w:cs="Calibri"/>
                <w:lang w:val="id-ID"/>
              </w:rPr>
              <w:t xml:space="preserve">Alasan Pentingnya Menghindari Konflik </w:t>
            </w:r>
            <w:r>
              <w:rPr>
                <w:rFonts w:ascii="Calibri" w:eastAsia="Calibri" w:hAnsi="Calibri" w:cs="Calibri"/>
                <w:lang w:val="id-ID"/>
              </w:rPr>
              <w:t>Kepentingan</w:t>
            </w:r>
          </w:p>
        </w:tc>
      </w:tr>
      <w:tr w:rsidR="007C44A2" w14:paraId="0C466AFE" w14:textId="77777777">
        <w:tc>
          <w:tcPr>
            <w:tcW w:w="1129" w:type="dxa"/>
            <w:shd w:val="clear" w:color="auto" w:fill="D9E2F3" w:themeFill="accent1" w:themeFillTint="33"/>
            <w:tcMar>
              <w:top w:w="120" w:type="dxa"/>
              <w:left w:w="180" w:type="dxa"/>
              <w:bottom w:w="120" w:type="dxa"/>
              <w:right w:w="180" w:type="dxa"/>
            </w:tcMar>
            <w:hideMark/>
          </w:tcPr>
          <w:p w14:paraId="0C466AF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0C466AF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C466AF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B02" w14:textId="77777777">
        <w:tc>
          <w:tcPr>
            <w:tcW w:w="1129" w:type="dxa"/>
            <w:shd w:val="clear" w:color="auto" w:fill="D9E2F3" w:themeFill="accent1" w:themeFillTint="33"/>
            <w:tcMar>
              <w:top w:w="120" w:type="dxa"/>
              <w:left w:w="180" w:type="dxa"/>
              <w:bottom w:w="120" w:type="dxa"/>
              <w:right w:w="180" w:type="dxa"/>
            </w:tcMar>
            <w:hideMark/>
          </w:tcPr>
          <w:p w14:paraId="0C466AF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0C466B0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0C466B0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2 | Jenis</w:t>
            </w:r>
            <w:r>
              <w:rPr>
                <w:rFonts w:ascii="Calibri" w:eastAsia="Calibri" w:hAnsi="Calibri" w:cs="Calibri"/>
                <w:lang w:val="id-ID"/>
              </w:rPr>
              <w:noBreakHyphen/>
              <w:t>Jenis Konflik Kepentingan</w:t>
            </w:r>
          </w:p>
        </w:tc>
      </w:tr>
      <w:tr w:rsidR="007C44A2" w14:paraId="0C466B06" w14:textId="77777777">
        <w:tc>
          <w:tcPr>
            <w:tcW w:w="1129" w:type="dxa"/>
            <w:shd w:val="clear" w:color="auto" w:fill="D9E2F3" w:themeFill="accent1" w:themeFillTint="33"/>
            <w:tcMar>
              <w:top w:w="120" w:type="dxa"/>
              <w:left w:w="180" w:type="dxa"/>
              <w:bottom w:w="120" w:type="dxa"/>
              <w:right w:w="180" w:type="dxa"/>
            </w:tcMar>
          </w:tcPr>
          <w:p w14:paraId="0C466B0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C466B0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0C466B05" w14:textId="77777777" w:rsidR="007C44A2" w:rsidRDefault="00402097">
            <w:pPr>
              <w:spacing w:before="30" w:after="30"/>
              <w:ind w:left="30" w:right="30"/>
              <w:rPr>
                <w:rFonts w:ascii="Calibri" w:eastAsia="Times New Roman" w:hAnsi="Calibri" w:cs="Calibri"/>
                <w:lang w:val="de-DE"/>
              </w:rPr>
            </w:pPr>
            <w:r>
              <w:rPr>
                <w:rFonts w:ascii="Calibri" w:eastAsia="Calibri" w:hAnsi="Calibri" w:cs="Calibri"/>
                <w:lang w:val="id-ID"/>
              </w:rPr>
              <w:t>Bagian 2 | Jenis</w:t>
            </w:r>
            <w:r>
              <w:rPr>
                <w:rFonts w:ascii="Calibri" w:eastAsia="Calibri" w:hAnsi="Calibri" w:cs="Calibri"/>
                <w:lang w:val="id-ID"/>
              </w:rPr>
              <w:noBreakHyphen/>
              <w:t>Jenis Konflik Kepentingan</w:t>
            </w:r>
          </w:p>
        </w:tc>
      </w:tr>
      <w:tr w:rsidR="007C44A2" w14:paraId="0C466B0A" w14:textId="77777777">
        <w:tc>
          <w:tcPr>
            <w:tcW w:w="1129" w:type="dxa"/>
            <w:shd w:val="clear" w:color="auto" w:fill="D9E2F3" w:themeFill="accent1" w:themeFillTint="33"/>
            <w:tcMar>
              <w:top w:w="120" w:type="dxa"/>
              <w:left w:w="180" w:type="dxa"/>
              <w:bottom w:w="120" w:type="dxa"/>
              <w:right w:w="180" w:type="dxa"/>
            </w:tcMar>
            <w:hideMark/>
          </w:tcPr>
          <w:p w14:paraId="0C466B0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C466B0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learn how to </w:t>
            </w:r>
            <w:r>
              <w:rPr>
                <w:rFonts w:ascii="Calibri" w:eastAsia="Times New Roman" w:hAnsi="Calibri" w:cs="Calibri"/>
                <w:lang w:val="en-US"/>
              </w:rPr>
              <w:t>recognize and resolve different types of conflicts of interest.</w:t>
            </w:r>
          </w:p>
        </w:tc>
        <w:tc>
          <w:tcPr>
            <w:tcW w:w="6000" w:type="dxa"/>
            <w:vAlign w:val="center"/>
          </w:tcPr>
          <w:p w14:paraId="0C466B0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Di sini Anda akan mempelajari cara mengenali dan menyelesaikan berbagai jenis</w:t>
            </w:r>
            <w:r>
              <w:rPr>
                <w:rFonts w:ascii="Calibri" w:eastAsia="Calibri" w:hAnsi="Calibri" w:cs="Calibri"/>
                <w:lang w:val="id-ID"/>
              </w:rPr>
              <w:noBreakHyphen/>
              <w:t>jenis konflik kepentingan.</w:t>
            </w:r>
          </w:p>
        </w:tc>
      </w:tr>
      <w:tr w:rsidR="007C44A2" w14:paraId="0C466B0E" w14:textId="77777777">
        <w:tc>
          <w:tcPr>
            <w:tcW w:w="1129" w:type="dxa"/>
            <w:shd w:val="clear" w:color="auto" w:fill="D9E2F3" w:themeFill="accent1" w:themeFillTint="33"/>
            <w:tcMar>
              <w:top w:w="120" w:type="dxa"/>
              <w:left w:w="180" w:type="dxa"/>
              <w:bottom w:w="120" w:type="dxa"/>
              <w:right w:w="180" w:type="dxa"/>
            </w:tcMar>
            <w:hideMark/>
          </w:tcPr>
          <w:p w14:paraId="0C466B0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0C466B0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0C466B0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12 menit</w:t>
            </w:r>
          </w:p>
        </w:tc>
      </w:tr>
      <w:tr w:rsidR="007C44A2" w14:paraId="0C466B12" w14:textId="77777777">
        <w:tc>
          <w:tcPr>
            <w:tcW w:w="1129" w:type="dxa"/>
            <w:shd w:val="clear" w:color="auto" w:fill="D9E2F3" w:themeFill="accent1" w:themeFillTint="33"/>
            <w:tcMar>
              <w:top w:w="120" w:type="dxa"/>
              <w:left w:w="180" w:type="dxa"/>
              <w:bottom w:w="120" w:type="dxa"/>
              <w:right w:w="180" w:type="dxa"/>
            </w:tcMar>
            <w:hideMark/>
          </w:tcPr>
          <w:p w14:paraId="0C466B0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466B1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0C466B1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Kepentingan Keuangan</w:t>
            </w:r>
          </w:p>
        </w:tc>
      </w:tr>
      <w:tr w:rsidR="007C44A2" w14:paraId="0C466B16" w14:textId="77777777">
        <w:tc>
          <w:tcPr>
            <w:tcW w:w="1129" w:type="dxa"/>
            <w:shd w:val="clear" w:color="auto" w:fill="D9E2F3" w:themeFill="accent1" w:themeFillTint="33"/>
            <w:tcMar>
              <w:top w:w="120" w:type="dxa"/>
              <w:left w:w="180" w:type="dxa"/>
              <w:bottom w:w="120" w:type="dxa"/>
              <w:right w:w="180" w:type="dxa"/>
            </w:tcMar>
            <w:hideMark/>
          </w:tcPr>
          <w:p w14:paraId="0C466B1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0C466B1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0C466B1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Anggota Keluarga</w:t>
            </w:r>
          </w:p>
        </w:tc>
      </w:tr>
      <w:tr w:rsidR="007C44A2" w14:paraId="0C466B1A" w14:textId="77777777">
        <w:tc>
          <w:tcPr>
            <w:tcW w:w="1129" w:type="dxa"/>
            <w:shd w:val="clear" w:color="auto" w:fill="D9E2F3" w:themeFill="accent1" w:themeFillTint="33"/>
            <w:tcMar>
              <w:top w:w="120" w:type="dxa"/>
              <w:left w:w="180" w:type="dxa"/>
              <w:bottom w:w="120" w:type="dxa"/>
              <w:right w:w="180" w:type="dxa"/>
            </w:tcMar>
            <w:hideMark/>
          </w:tcPr>
          <w:p w14:paraId="0C466B1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0C466B1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0C466B1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Hadiah, Pembayaran, dan Tawaran Lainnya</w:t>
            </w:r>
          </w:p>
        </w:tc>
      </w:tr>
      <w:tr w:rsidR="007C44A2" w14:paraId="0C466B1E" w14:textId="77777777">
        <w:tc>
          <w:tcPr>
            <w:tcW w:w="1129" w:type="dxa"/>
            <w:shd w:val="clear" w:color="auto" w:fill="D9E2F3" w:themeFill="accent1" w:themeFillTint="33"/>
            <w:tcMar>
              <w:top w:w="120" w:type="dxa"/>
              <w:left w:w="180" w:type="dxa"/>
              <w:bottom w:w="120" w:type="dxa"/>
              <w:right w:w="180" w:type="dxa"/>
            </w:tcMar>
            <w:hideMark/>
          </w:tcPr>
          <w:p w14:paraId="0C466B1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0C466B1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0C466B1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Peluang Korporat</w:t>
            </w:r>
          </w:p>
        </w:tc>
      </w:tr>
      <w:tr w:rsidR="007C44A2" w14:paraId="0C466B22" w14:textId="77777777">
        <w:tc>
          <w:tcPr>
            <w:tcW w:w="1129" w:type="dxa"/>
            <w:shd w:val="clear" w:color="auto" w:fill="D9E2F3" w:themeFill="accent1" w:themeFillTint="33"/>
            <w:tcMar>
              <w:top w:w="120" w:type="dxa"/>
              <w:left w:w="180" w:type="dxa"/>
              <w:bottom w:w="120" w:type="dxa"/>
              <w:right w:w="180" w:type="dxa"/>
            </w:tcMar>
            <w:hideMark/>
          </w:tcPr>
          <w:p w14:paraId="0C466B1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0C466B2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0C466B2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Hubungan Kerja dan Konsultan di Luar </w:t>
            </w:r>
            <w:r>
              <w:rPr>
                <w:rFonts w:ascii="Calibri" w:eastAsia="Calibri" w:hAnsi="Calibri" w:cs="Calibri"/>
                <w:lang w:val="id-ID"/>
              </w:rPr>
              <w:t>Perusahaan</w:t>
            </w:r>
          </w:p>
        </w:tc>
      </w:tr>
      <w:tr w:rsidR="007C44A2" w14:paraId="0C466B26" w14:textId="77777777">
        <w:tc>
          <w:tcPr>
            <w:tcW w:w="1129" w:type="dxa"/>
            <w:shd w:val="clear" w:color="auto" w:fill="D9E2F3" w:themeFill="accent1" w:themeFillTint="33"/>
            <w:tcMar>
              <w:top w:w="120" w:type="dxa"/>
              <w:left w:w="180" w:type="dxa"/>
              <w:bottom w:w="120" w:type="dxa"/>
              <w:right w:w="180" w:type="dxa"/>
            </w:tcMar>
            <w:hideMark/>
          </w:tcPr>
          <w:p w14:paraId="0C466B2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C466B2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0C466B2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Menjabat sebagai Dewan atau Pejabat untuk Pihak Ketiga </w:t>
            </w:r>
          </w:p>
        </w:tc>
      </w:tr>
      <w:tr w:rsidR="007C44A2" w14:paraId="0C466B2A" w14:textId="77777777">
        <w:tc>
          <w:tcPr>
            <w:tcW w:w="1129" w:type="dxa"/>
            <w:shd w:val="clear" w:color="auto" w:fill="D9E2F3" w:themeFill="accent1" w:themeFillTint="33"/>
            <w:tcMar>
              <w:top w:w="120" w:type="dxa"/>
              <w:left w:w="180" w:type="dxa"/>
              <w:bottom w:w="120" w:type="dxa"/>
              <w:right w:w="180" w:type="dxa"/>
            </w:tcMar>
            <w:hideMark/>
          </w:tcPr>
          <w:p w14:paraId="0C466B2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0C466B2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C466B2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B2E" w14:textId="77777777">
        <w:tc>
          <w:tcPr>
            <w:tcW w:w="1129" w:type="dxa"/>
            <w:shd w:val="clear" w:color="auto" w:fill="D9E2F3" w:themeFill="accent1" w:themeFillTint="33"/>
            <w:tcMar>
              <w:top w:w="120" w:type="dxa"/>
              <w:left w:w="180" w:type="dxa"/>
              <w:bottom w:w="120" w:type="dxa"/>
              <w:right w:w="180" w:type="dxa"/>
            </w:tcMar>
            <w:hideMark/>
          </w:tcPr>
          <w:p w14:paraId="0C466B2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0C466B2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0C466B2D" w14:textId="77777777" w:rsidR="007C44A2" w:rsidRDefault="00402097">
            <w:pPr>
              <w:spacing w:before="30" w:after="30"/>
              <w:ind w:left="30" w:right="30"/>
              <w:rPr>
                <w:rFonts w:ascii="Calibri" w:eastAsia="Times New Roman" w:hAnsi="Calibri" w:cs="Calibri"/>
                <w:lang w:val="nl-NL"/>
              </w:rPr>
            </w:pPr>
            <w:r>
              <w:rPr>
                <w:rFonts w:ascii="Calibri" w:eastAsia="Calibri" w:hAnsi="Calibri" w:cs="Calibri"/>
                <w:lang w:val="id-ID"/>
              </w:rPr>
              <w:t xml:space="preserve">3 | Mengungkapkan dan Melaporkan Konflik Kepentingan </w:t>
            </w:r>
          </w:p>
        </w:tc>
      </w:tr>
      <w:tr w:rsidR="007C44A2" w14:paraId="0C466B32" w14:textId="77777777">
        <w:tc>
          <w:tcPr>
            <w:tcW w:w="1129" w:type="dxa"/>
            <w:shd w:val="clear" w:color="auto" w:fill="D9E2F3" w:themeFill="accent1" w:themeFillTint="33"/>
            <w:tcMar>
              <w:top w:w="120" w:type="dxa"/>
              <w:left w:w="180" w:type="dxa"/>
              <w:bottom w:w="120" w:type="dxa"/>
              <w:right w:w="180" w:type="dxa"/>
            </w:tcMar>
          </w:tcPr>
          <w:p w14:paraId="0C466B2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0C466B3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0C466B31" w14:textId="77777777" w:rsidR="007C44A2" w:rsidRDefault="00402097">
            <w:pPr>
              <w:spacing w:before="30" w:after="30"/>
              <w:ind w:left="30" w:right="30"/>
              <w:rPr>
                <w:rFonts w:ascii="Calibri" w:eastAsia="Times New Roman" w:hAnsi="Calibri" w:cs="Calibri"/>
                <w:lang w:val="nl-NL"/>
              </w:rPr>
            </w:pPr>
            <w:r>
              <w:rPr>
                <w:rFonts w:ascii="Calibri" w:eastAsia="Calibri" w:hAnsi="Calibri" w:cs="Calibri"/>
                <w:lang w:val="id-ID"/>
              </w:rPr>
              <w:t>Bagian 3 | Mengungkapkan dan Melaporkan Konflik Kepentingan</w:t>
            </w:r>
          </w:p>
        </w:tc>
      </w:tr>
      <w:tr w:rsidR="007C44A2" w14:paraId="0C466B36" w14:textId="77777777">
        <w:tc>
          <w:tcPr>
            <w:tcW w:w="1129" w:type="dxa"/>
            <w:shd w:val="clear" w:color="auto" w:fill="D9E2F3" w:themeFill="accent1" w:themeFillTint="33"/>
            <w:tcMar>
              <w:top w:w="120" w:type="dxa"/>
              <w:left w:w="180" w:type="dxa"/>
              <w:bottom w:w="120" w:type="dxa"/>
              <w:right w:w="180" w:type="dxa"/>
            </w:tcMar>
            <w:hideMark/>
          </w:tcPr>
          <w:p w14:paraId="0C466B3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0C466B3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t>
            </w:r>
            <w:r>
              <w:rPr>
                <w:rFonts w:ascii="Calibri" w:eastAsia="Times New Roman" w:hAnsi="Calibri" w:cs="Calibri"/>
                <w:lang w:val="en-US"/>
              </w:rPr>
              <w:t>will learn how to disclose and report conflicts of interest.</w:t>
            </w:r>
          </w:p>
        </w:tc>
        <w:tc>
          <w:tcPr>
            <w:tcW w:w="6000" w:type="dxa"/>
            <w:vAlign w:val="center"/>
          </w:tcPr>
          <w:p w14:paraId="0C466B3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Di sini, Anda akan mempelajari cara mengungkapkan dan melaporkan konflik kepentingan.</w:t>
            </w:r>
          </w:p>
        </w:tc>
      </w:tr>
      <w:tr w:rsidR="007C44A2" w14:paraId="0C466B3A" w14:textId="77777777">
        <w:tc>
          <w:tcPr>
            <w:tcW w:w="1129" w:type="dxa"/>
            <w:shd w:val="clear" w:color="auto" w:fill="D9E2F3" w:themeFill="accent1" w:themeFillTint="33"/>
            <w:tcMar>
              <w:top w:w="120" w:type="dxa"/>
              <w:left w:w="180" w:type="dxa"/>
              <w:bottom w:w="120" w:type="dxa"/>
              <w:right w:w="180" w:type="dxa"/>
            </w:tcMar>
            <w:hideMark/>
          </w:tcPr>
          <w:p w14:paraId="0C466B3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0C466B3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0C466B3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6 menit</w:t>
            </w:r>
          </w:p>
        </w:tc>
      </w:tr>
      <w:tr w:rsidR="007C44A2" w14:paraId="0C466B3E" w14:textId="77777777">
        <w:tc>
          <w:tcPr>
            <w:tcW w:w="1129" w:type="dxa"/>
            <w:shd w:val="clear" w:color="auto" w:fill="D9E2F3" w:themeFill="accent1" w:themeFillTint="33"/>
            <w:tcMar>
              <w:top w:w="120" w:type="dxa"/>
              <w:left w:w="180" w:type="dxa"/>
              <w:bottom w:w="120" w:type="dxa"/>
              <w:right w:w="180" w:type="dxa"/>
            </w:tcMar>
            <w:hideMark/>
          </w:tcPr>
          <w:p w14:paraId="0C466B3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0C466B3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0C466B3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Mengungkapkan Konflik </w:t>
            </w:r>
            <w:r>
              <w:rPr>
                <w:rFonts w:ascii="Calibri" w:eastAsia="Calibri" w:hAnsi="Calibri" w:cs="Calibri"/>
                <w:lang w:val="id-ID"/>
              </w:rPr>
              <w:t>Kepentingan Anda</w:t>
            </w:r>
          </w:p>
        </w:tc>
      </w:tr>
      <w:tr w:rsidR="007C44A2" w14:paraId="0C466B42" w14:textId="77777777">
        <w:tc>
          <w:tcPr>
            <w:tcW w:w="1129" w:type="dxa"/>
            <w:shd w:val="clear" w:color="auto" w:fill="D9E2F3" w:themeFill="accent1" w:themeFillTint="33"/>
            <w:tcMar>
              <w:top w:w="120" w:type="dxa"/>
              <w:left w:w="180" w:type="dxa"/>
              <w:bottom w:w="120" w:type="dxa"/>
              <w:right w:w="180" w:type="dxa"/>
            </w:tcMar>
            <w:hideMark/>
          </w:tcPr>
          <w:p w14:paraId="0C466B3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0C466B4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0C466B4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Melaporkan Konflik Kepentingan Orang Lain</w:t>
            </w:r>
          </w:p>
        </w:tc>
      </w:tr>
      <w:tr w:rsidR="007C44A2" w14:paraId="0C466B46" w14:textId="77777777">
        <w:tc>
          <w:tcPr>
            <w:tcW w:w="1129" w:type="dxa"/>
            <w:shd w:val="clear" w:color="auto" w:fill="D9E2F3" w:themeFill="accent1" w:themeFillTint="33"/>
            <w:tcMar>
              <w:top w:w="120" w:type="dxa"/>
              <w:left w:w="180" w:type="dxa"/>
              <w:bottom w:w="120" w:type="dxa"/>
              <w:right w:w="180" w:type="dxa"/>
            </w:tcMar>
            <w:hideMark/>
          </w:tcPr>
          <w:p w14:paraId="0C466B4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0C466B4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0C466B4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Sertifikasi Konflik Kepentingan Tahunan</w:t>
            </w:r>
          </w:p>
        </w:tc>
      </w:tr>
      <w:tr w:rsidR="007C44A2" w14:paraId="0C466B4A" w14:textId="77777777">
        <w:tc>
          <w:tcPr>
            <w:tcW w:w="1129" w:type="dxa"/>
            <w:shd w:val="clear" w:color="auto" w:fill="D9E2F3" w:themeFill="accent1" w:themeFillTint="33"/>
            <w:tcMar>
              <w:top w:w="120" w:type="dxa"/>
              <w:left w:w="180" w:type="dxa"/>
              <w:bottom w:w="120" w:type="dxa"/>
              <w:right w:w="180" w:type="dxa"/>
            </w:tcMar>
            <w:hideMark/>
          </w:tcPr>
          <w:p w14:paraId="0C466B4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0C466B4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0C466B49" w14:textId="77777777" w:rsidR="007C44A2" w:rsidRDefault="00402097">
            <w:pPr>
              <w:spacing w:before="30" w:after="30"/>
              <w:ind w:left="30" w:right="30"/>
              <w:rPr>
                <w:rFonts w:ascii="Calibri" w:eastAsia="Times New Roman" w:hAnsi="Calibri" w:cs="Calibri"/>
                <w:lang w:val="nl-NL"/>
              </w:rPr>
            </w:pPr>
            <w:r>
              <w:rPr>
                <w:rFonts w:ascii="Calibri" w:eastAsia="Calibri" w:hAnsi="Calibri" w:cs="Calibri"/>
                <w:lang w:val="id-ID"/>
              </w:rPr>
              <w:t xml:space="preserve">Tempat </w:t>
            </w:r>
            <w:r>
              <w:rPr>
                <w:rFonts w:ascii="Calibri" w:eastAsia="Calibri" w:hAnsi="Calibri" w:cs="Calibri"/>
                <w:lang w:val="id-ID"/>
              </w:rPr>
              <w:t>Mendapatkan Bantuan dan Dukungan</w:t>
            </w:r>
          </w:p>
        </w:tc>
      </w:tr>
      <w:tr w:rsidR="007C44A2" w14:paraId="0C466B4E" w14:textId="77777777">
        <w:tc>
          <w:tcPr>
            <w:tcW w:w="1129" w:type="dxa"/>
            <w:shd w:val="clear" w:color="auto" w:fill="D9E2F3" w:themeFill="accent1" w:themeFillTint="33"/>
            <w:tcMar>
              <w:top w:w="120" w:type="dxa"/>
              <w:left w:w="180" w:type="dxa"/>
              <w:bottom w:w="120" w:type="dxa"/>
              <w:right w:w="180" w:type="dxa"/>
            </w:tcMar>
            <w:hideMark/>
          </w:tcPr>
          <w:p w14:paraId="0C466B4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0C466B4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0C466B4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Tinjauan </w:t>
            </w:r>
          </w:p>
        </w:tc>
      </w:tr>
      <w:tr w:rsidR="007C44A2" w14:paraId="0C466B52" w14:textId="77777777">
        <w:tc>
          <w:tcPr>
            <w:tcW w:w="1129" w:type="dxa"/>
            <w:shd w:val="clear" w:color="auto" w:fill="D9E2F3" w:themeFill="accent1" w:themeFillTint="33"/>
            <w:tcMar>
              <w:top w:w="120" w:type="dxa"/>
              <w:left w:w="180" w:type="dxa"/>
              <w:bottom w:w="120" w:type="dxa"/>
              <w:right w:w="180" w:type="dxa"/>
            </w:tcMar>
            <w:hideMark/>
          </w:tcPr>
          <w:p w14:paraId="0C466B4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0C466B5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0C466B5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4 | Uji Pengetahuan</w:t>
            </w:r>
          </w:p>
        </w:tc>
      </w:tr>
      <w:tr w:rsidR="007C44A2" w14:paraId="0C466B56" w14:textId="77777777">
        <w:tc>
          <w:tcPr>
            <w:tcW w:w="1129" w:type="dxa"/>
            <w:shd w:val="clear" w:color="auto" w:fill="D9E2F3" w:themeFill="accent1" w:themeFillTint="33"/>
            <w:tcMar>
              <w:top w:w="120" w:type="dxa"/>
              <w:left w:w="180" w:type="dxa"/>
              <w:bottom w:w="120" w:type="dxa"/>
              <w:right w:w="180" w:type="dxa"/>
            </w:tcMar>
          </w:tcPr>
          <w:p w14:paraId="0C466B5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0C466B5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0C466B5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Bagian 4 | Uji Pengetahuan</w:t>
            </w:r>
          </w:p>
        </w:tc>
      </w:tr>
      <w:tr w:rsidR="007C44A2" w14:paraId="0C466B5A" w14:textId="77777777">
        <w:tc>
          <w:tcPr>
            <w:tcW w:w="1129" w:type="dxa"/>
            <w:shd w:val="clear" w:color="auto" w:fill="D9E2F3" w:themeFill="accent1" w:themeFillTint="33"/>
            <w:tcMar>
              <w:top w:w="120" w:type="dxa"/>
              <w:left w:w="180" w:type="dxa"/>
              <w:bottom w:w="120" w:type="dxa"/>
              <w:right w:w="180" w:type="dxa"/>
            </w:tcMar>
            <w:hideMark/>
          </w:tcPr>
          <w:p w14:paraId="0C466B5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0C466B5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Assess your understanding of the key concepts and principles of this </w:t>
            </w:r>
            <w:r>
              <w:rPr>
                <w:rFonts w:ascii="Calibri" w:eastAsia="Times New Roman" w:hAnsi="Calibri" w:cs="Calibri"/>
                <w:lang w:val="en-US"/>
              </w:rPr>
              <w:t>course.</w:t>
            </w:r>
          </w:p>
        </w:tc>
        <w:tc>
          <w:tcPr>
            <w:tcW w:w="6000" w:type="dxa"/>
            <w:vAlign w:val="center"/>
          </w:tcPr>
          <w:p w14:paraId="0C466B5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Evaluasi pemahaman Anda tentang konsep dan prinsip utama dari kursus ini.</w:t>
            </w:r>
          </w:p>
        </w:tc>
      </w:tr>
      <w:tr w:rsidR="007C44A2" w14:paraId="0C466B5E" w14:textId="77777777">
        <w:tc>
          <w:tcPr>
            <w:tcW w:w="1129" w:type="dxa"/>
            <w:shd w:val="clear" w:color="auto" w:fill="D9E2F3" w:themeFill="accent1" w:themeFillTint="33"/>
            <w:tcMar>
              <w:top w:w="120" w:type="dxa"/>
              <w:left w:w="180" w:type="dxa"/>
              <w:bottom w:w="120" w:type="dxa"/>
              <w:right w:w="180" w:type="dxa"/>
            </w:tcMar>
            <w:hideMark/>
          </w:tcPr>
          <w:p w14:paraId="0C466B5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0C466B5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0C466B5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5 menit</w:t>
            </w:r>
          </w:p>
        </w:tc>
      </w:tr>
      <w:tr w:rsidR="007C44A2" w14:paraId="0C466B62" w14:textId="77777777">
        <w:tc>
          <w:tcPr>
            <w:tcW w:w="1129" w:type="dxa"/>
            <w:shd w:val="clear" w:color="auto" w:fill="D9E2F3" w:themeFill="accent1" w:themeFillTint="33"/>
            <w:tcMar>
              <w:top w:w="120" w:type="dxa"/>
              <w:left w:w="180" w:type="dxa"/>
              <w:bottom w:w="120" w:type="dxa"/>
              <w:right w:w="180" w:type="dxa"/>
            </w:tcMar>
            <w:hideMark/>
          </w:tcPr>
          <w:p w14:paraId="0C466B5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0C466B6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0C466B6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Penilaian</w:t>
            </w:r>
          </w:p>
        </w:tc>
      </w:tr>
      <w:tr w:rsidR="007C44A2" w14:paraId="0C466B66" w14:textId="77777777">
        <w:tc>
          <w:tcPr>
            <w:tcW w:w="1129" w:type="dxa"/>
            <w:shd w:val="clear" w:color="auto" w:fill="D9E2F3" w:themeFill="accent1" w:themeFillTint="33"/>
            <w:tcMar>
              <w:top w:w="120" w:type="dxa"/>
              <w:left w:w="180" w:type="dxa"/>
              <w:bottom w:w="120" w:type="dxa"/>
              <w:right w:w="180" w:type="dxa"/>
            </w:tcMar>
            <w:hideMark/>
          </w:tcPr>
          <w:p w14:paraId="0C466B6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0C466B6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0C466B6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panel untuk memulai.</w:t>
            </w:r>
          </w:p>
        </w:tc>
      </w:tr>
      <w:tr w:rsidR="007C44A2" w14:paraId="0C466B6A" w14:textId="77777777">
        <w:tc>
          <w:tcPr>
            <w:tcW w:w="1129" w:type="dxa"/>
            <w:shd w:val="clear" w:color="auto" w:fill="D9E2F3" w:themeFill="accent1" w:themeFillTint="33"/>
            <w:tcMar>
              <w:top w:w="120" w:type="dxa"/>
              <w:left w:w="180" w:type="dxa"/>
              <w:bottom w:w="120" w:type="dxa"/>
              <w:right w:w="180" w:type="dxa"/>
            </w:tcMar>
            <w:hideMark/>
          </w:tcPr>
          <w:p w14:paraId="0C466B6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0C466B6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yellow play button to begin.</w:t>
            </w:r>
          </w:p>
        </w:tc>
        <w:tc>
          <w:tcPr>
            <w:tcW w:w="6000" w:type="dxa"/>
            <w:vAlign w:val="center"/>
          </w:tcPr>
          <w:p w14:paraId="0C466B6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Klik </w:t>
            </w:r>
            <w:r>
              <w:rPr>
                <w:rFonts w:ascii="Calibri" w:eastAsia="Calibri" w:hAnsi="Calibri" w:cs="Calibri"/>
                <w:lang w:val="id-ID"/>
              </w:rPr>
              <w:t>tombol putar kuning untuk memulai.</w:t>
            </w:r>
          </w:p>
        </w:tc>
      </w:tr>
      <w:tr w:rsidR="007C44A2" w14:paraId="0C466B6E" w14:textId="77777777">
        <w:tc>
          <w:tcPr>
            <w:tcW w:w="1129" w:type="dxa"/>
            <w:shd w:val="clear" w:color="auto" w:fill="D9E2F3" w:themeFill="accent1" w:themeFillTint="33"/>
            <w:tcMar>
              <w:top w:w="120" w:type="dxa"/>
              <w:left w:w="180" w:type="dxa"/>
              <w:bottom w:w="120" w:type="dxa"/>
              <w:right w:w="180" w:type="dxa"/>
            </w:tcMar>
            <w:hideMark/>
          </w:tcPr>
          <w:p w14:paraId="0C466B6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0C466B6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Here is an example.</w:t>
            </w:r>
          </w:p>
        </w:tc>
        <w:tc>
          <w:tcPr>
            <w:tcW w:w="6000" w:type="dxa"/>
            <w:vAlign w:val="center"/>
          </w:tcPr>
          <w:p w14:paraId="0C466B6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Inilah contohnya.</w:t>
            </w:r>
          </w:p>
        </w:tc>
      </w:tr>
      <w:tr w:rsidR="007C44A2" w14:paraId="0C466B72" w14:textId="77777777">
        <w:tc>
          <w:tcPr>
            <w:tcW w:w="1129" w:type="dxa"/>
            <w:shd w:val="clear" w:color="auto" w:fill="D9E2F3" w:themeFill="accent1" w:themeFillTint="33"/>
            <w:tcMar>
              <w:top w:w="120" w:type="dxa"/>
              <w:left w:w="180" w:type="dxa"/>
              <w:bottom w:w="120" w:type="dxa"/>
              <w:right w:w="180" w:type="dxa"/>
            </w:tcMar>
            <w:hideMark/>
          </w:tcPr>
          <w:p w14:paraId="0C466B6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C466B7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C466B7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Supervisor pabrik memutuskan untuk menggunakan jasa peru</w:t>
            </w:r>
            <w:r>
              <w:rPr>
                <w:rFonts w:ascii="Calibri" w:eastAsia="Calibri" w:hAnsi="Calibri" w:cs="Calibri"/>
                <w:lang w:val="id-ID"/>
              </w:rPr>
              <w:t>sahaan saudara lelakinya dalam menyediakan pengaturan keamanan di fasilitas Abbott.</w:t>
            </w:r>
          </w:p>
        </w:tc>
      </w:tr>
      <w:tr w:rsidR="007C44A2" w14:paraId="0C466B76" w14:textId="77777777">
        <w:tc>
          <w:tcPr>
            <w:tcW w:w="1129" w:type="dxa"/>
            <w:shd w:val="clear" w:color="auto" w:fill="D9E2F3" w:themeFill="accent1" w:themeFillTint="33"/>
            <w:tcMar>
              <w:top w:w="120" w:type="dxa"/>
              <w:left w:w="180" w:type="dxa"/>
              <w:bottom w:w="120" w:type="dxa"/>
              <w:right w:w="180" w:type="dxa"/>
            </w:tcMar>
            <w:hideMark/>
          </w:tcPr>
          <w:p w14:paraId="0C466B7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0C466B7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0C466B7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Dari luar, supervisor pabri</w:t>
            </w:r>
            <w:r>
              <w:rPr>
                <w:rFonts w:ascii="Calibri" w:eastAsia="Calibri" w:hAnsi="Calibri" w:cs="Calibri"/>
                <w:lang w:val="id-ID"/>
              </w:rPr>
              <w:t>k terkesan memiliki kepentingan pribadi untuk membantu perusahaan saudara lelakinya agar mendapatkan klien baru.</w:t>
            </w:r>
          </w:p>
        </w:tc>
      </w:tr>
      <w:tr w:rsidR="007C44A2" w14:paraId="0C466B7A" w14:textId="77777777">
        <w:tc>
          <w:tcPr>
            <w:tcW w:w="1129" w:type="dxa"/>
            <w:shd w:val="clear" w:color="auto" w:fill="D9E2F3" w:themeFill="accent1" w:themeFillTint="33"/>
            <w:tcMar>
              <w:top w:w="120" w:type="dxa"/>
              <w:left w:w="180" w:type="dxa"/>
              <w:bottom w:w="120" w:type="dxa"/>
              <w:right w:w="180" w:type="dxa"/>
            </w:tcMar>
            <w:hideMark/>
          </w:tcPr>
          <w:p w14:paraId="0C466B7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466B7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His personal interest could conflict with Abbott’s interest, which is to hire the best security company available, at the lowest </w:t>
            </w:r>
            <w:r>
              <w:rPr>
                <w:rFonts w:ascii="Calibri" w:eastAsia="Times New Roman" w:hAnsi="Calibri" w:cs="Calibri"/>
                <w:lang w:val="en-US"/>
              </w:rPr>
              <w:t>possible price.</w:t>
            </w:r>
          </w:p>
        </w:tc>
        <w:tc>
          <w:tcPr>
            <w:tcW w:w="6000" w:type="dxa"/>
            <w:vAlign w:val="center"/>
          </w:tcPr>
          <w:p w14:paraId="0C466B7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Kepentingan pribadinya dapat bertentangan dengan kepentingan Abbott, yakni menggunakan jasa perusahaan keamanan terbaik yang ada, dengan harga serendah mungkin.</w:t>
            </w:r>
          </w:p>
        </w:tc>
      </w:tr>
      <w:tr w:rsidR="007C44A2" w14:paraId="0C466B7E" w14:textId="77777777">
        <w:tc>
          <w:tcPr>
            <w:tcW w:w="1129" w:type="dxa"/>
            <w:shd w:val="clear" w:color="auto" w:fill="D9E2F3" w:themeFill="accent1" w:themeFillTint="33"/>
            <w:tcMar>
              <w:top w:w="120" w:type="dxa"/>
              <w:left w:w="180" w:type="dxa"/>
              <w:bottom w:w="120" w:type="dxa"/>
              <w:right w:w="180" w:type="dxa"/>
            </w:tcMar>
            <w:hideMark/>
          </w:tcPr>
          <w:p w14:paraId="0C466B7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0C466B7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0C466B7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Akibatnya, konflik kepenti</w:t>
            </w:r>
            <w:r>
              <w:rPr>
                <w:rFonts w:ascii="Calibri" w:eastAsia="Calibri" w:hAnsi="Calibri" w:cs="Calibri"/>
                <w:lang w:val="id-ID"/>
              </w:rPr>
              <w:t>ngan terjadi.</w:t>
            </w:r>
          </w:p>
        </w:tc>
      </w:tr>
      <w:tr w:rsidR="007C44A2" w14:paraId="0C466B82" w14:textId="77777777">
        <w:tc>
          <w:tcPr>
            <w:tcW w:w="1129" w:type="dxa"/>
            <w:shd w:val="clear" w:color="auto" w:fill="D9E2F3" w:themeFill="accent1" w:themeFillTint="33"/>
            <w:tcMar>
              <w:top w:w="120" w:type="dxa"/>
              <w:left w:w="180" w:type="dxa"/>
              <w:bottom w:w="120" w:type="dxa"/>
              <w:right w:w="180" w:type="dxa"/>
            </w:tcMar>
            <w:hideMark/>
          </w:tcPr>
          <w:p w14:paraId="0C466B7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C466B8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0C466B8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UNTUK MEMPELAJARI LEBIH LANJUT TENTANG DAMPAK YANG DAPAT DITIMBULKAN KONFLIK KEPENTINGAN TERHADAP PEMANGKU KEPENTINGAN ABBOTT</w:t>
            </w:r>
            <w:r>
              <w:rPr>
                <w:rFonts w:ascii="Calibri" w:eastAsia="Calibri" w:hAnsi="Calibri" w:cs="Calibri"/>
                <w:lang w:val="id-ID"/>
              </w:rPr>
              <w:t>, KLIK TANDA PANAH KE BAWAH.</w:t>
            </w:r>
          </w:p>
        </w:tc>
      </w:tr>
      <w:tr w:rsidR="007C44A2" w14:paraId="0C466B86" w14:textId="77777777">
        <w:tc>
          <w:tcPr>
            <w:tcW w:w="1129" w:type="dxa"/>
            <w:shd w:val="clear" w:color="auto" w:fill="D9E2F3" w:themeFill="accent1" w:themeFillTint="33"/>
            <w:tcMar>
              <w:top w:w="120" w:type="dxa"/>
              <w:left w:w="180" w:type="dxa"/>
              <w:bottom w:w="120" w:type="dxa"/>
              <w:right w:w="180" w:type="dxa"/>
            </w:tcMar>
            <w:hideMark/>
          </w:tcPr>
          <w:p w14:paraId="0C466B8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0C466B8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0C466B8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Karyawan </w:t>
            </w:r>
          </w:p>
        </w:tc>
      </w:tr>
      <w:tr w:rsidR="007C44A2" w14:paraId="0C466B8A" w14:textId="77777777">
        <w:tc>
          <w:tcPr>
            <w:tcW w:w="1129" w:type="dxa"/>
            <w:shd w:val="clear" w:color="auto" w:fill="D9E2F3" w:themeFill="accent1" w:themeFillTint="33"/>
            <w:tcMar>
              <w:top w:w="120" w:type="dxa"/>
              <w:left w:w="180" w:type="dxa"/>
              <w:bottom w:w="120" w:type="dxa"/>
              <w:right w:w="180" w:type="dxa"/>
            </w:tcMar>
            <w:hideMark/>
          </w:tcPr>
          <w:p w14:paraId="0C466B8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C466B8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0C466B8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Konflik kepentingan dapat menyeba</w:t>
            </w:r>
            <w:r>
              <w:rPr>
                <w:rFonts w:ascii="Calibri" w:eastAsia="Calibri" w:hAnsi="Calibri" w:cs="Calibri"/>
                <w:lang w:val="id-ID"/>
              </w:rPr>
              <w:t xml:space="preserve">bkan pelamar kerja dan karyawan ragu untuk menjadi bagian dari suatu organisasi, jika perekrutan dan keputusan promosi tidak didasarkan pada kemampuan, melainkan hubungan keluarga atau pertemanan. </w:t>
            </w:r>
          </w:p>
        </w:tc>
      </w:tr>
      <w:tr w:rsidR="007C44A2" w14:paraId="0C466B8E" w14:textId="77777777">
        <w:tc>
          <w:tcPr>
            <w:tcW w:w="1129" w:type="dxa"/>
            <w:shd w:val="clear" w:color="auto" w:fill="D9E2F3" w:themeFill="accent1" w:themeFillTint="33"/>
            <w:tcMar>
              <w:top w:w="120" w:type="dxa"/>
              <w:left w:w="180" w:type="dxa"/>
              <w:bottom w:w="120" w:type="dxa"/>
              <w:right w:w="180" w:type="dxa"/>
            </w:tcMar>
            <w:hideMark/>
          </w:tcPr>
          <w:p w14:paraId="0C466B8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0C466B8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0C466B8D" w14:textId="77777777" w:rsidR="007C44A2" w:rsidRDefault="00402097">
            <w:pPr>
              <w:spacing w:before="30" w:after="30"/>
              <w:ind w:left="30" w:right="30"/>
              <w:rPr>
                <w:rFonts w:ascii="Calibri" w:eastAsia="Times New Roman" w:hAnsi="Calibri" w:cs="Calibri"/>
                <w:lang w:val="pl-PL"/>
              </w:rPr>
            </w:pPr>
            <w:r>
              <w:rPr>
                <w:rFonts w:ascii="Calibri" w:eastAsia="Calibri" w:hAnsi="Calibri" w:cs="Calibri"/>
                <w:lang w:val="id-ID"/>
              </w:rPr>
              <w:t xml:space="preserve">Klik tanda panah ke </w:t>
            </w:r>
            <w:r>
              <w:rPr>
                <w:rFonts w:ascii="Calibri" w:eastAsia="Calibri" w:hAnsi="Calibri" w:cs="Calibri"/>
                <w:lang w:val="id-ID"/>
              </w:rPr>
              <w:t>bawah.</w:t>
            </w:r>
          </w:p>
        </w:tc>
      </w:tr>
      <w:tr w:rsidR="007C44A2" w14:paraId="0C466B92" w14:textId="77777777">
        <w:tc>
          <w:tcPr>
            <w:tcW w:w="1129" w:type="dxa"/>
            <w:shd w:val="clear" w:color="auto" w:fill="D9E2F3" w:themeFill="accent1" w:themeFillTint="33"/>
            <w:tcMar>
              <w:top w:w="120" w:type="dxa"/>
              <w:left w:w="180" w:type="dxa"/>
              <w:bottom w:w="120" w:type="dxa"/>
              <w:right w:w="180" w:type="dxa"/>
            </w:tcMar>
            <w:hideMark/>
          </w:tcPr>
          <w:p w14:paraId="0C466B8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0C466B9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C466B9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B96" w14:textId="77777777">
        <w:tc>
          <w:tcPr>
            <w:tcW w:w="1129" w:type="dxa"/>
            <w:shd w:val="clear" w:color="auto" w:fill="D9E2F3" w:themeFill="accent1" w:themeFillTint="33"/>
            <w:tcMar>
              <w:top w:w="120" w:type="dxa"/>
              <w:left w:w="180" w:type="dxa"/>
              <w:bottom w:w="120" w:type="dxa"/>
              <w:right w:w="180" w:type="dxa"/>
            </w:tcMar>
          </w:tcPr>
          <w:p w14:paraId="0C466B9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0C466B9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0C466B9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Luangkan waktu sejenak untuk meninjau beberapa konsep utama dalam bagian ini.</w:t>
            </w:r>
          </w:p>
        </w:tc>
      </w:tr>
      <w:tr w:rsidR="007C44A2" w14:paraId="0C466B9A" w14:textId="77777777">
        <w:tc>
          <w:tcPr>
            <w:tcW w:w="1129" w:type="dxa"/>
            <w:shd w:val="clear" w:color="auto" w:fill="D9E2F3" w:themeFill="accent1" w:themeFillTint="33"/>
            <w:tcMar>
              <w:top w:w="120" w:type="dxa"/>
              <w:left w:w="180" w:type="dxa"/>
              <w:bottom w:w="120" w:type="dxa"/>
              <w:right w:w="180" w:type="dxa"/>
            </w:tcMar>
            <w:hideMark/>
          </w:tcPr>
          <w:p w14:paraId="0C466B9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0C466B9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0C466B9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DEFINISI KONFLIK </w:t>
            </w:r>
            <w:r>
              <w:rPr>
                <w:rFonts w:ascii="Calibri" w:eastAsia="Calibri" w:hAnsi="Calibri" w:cs="Calibri"/>
                <w:lang w:val="id-ID"/>
              </w:rPr>
              <w:t>KEPENTINGAN</w:t>
            </w:r>
          </w:p>
        </w:tc>
      </w:tr>
      <w:tr w:rsidR="007C44A2" w14:paraId="0C466B9E" w14:textId="77777777">
        <w:tc>
          <w:tcPr>
            <w:tcW w:w="1129" w:type="dxa"/>
            <w:shd w:val="clear" w:color="auto" w:fill="D9E2F3" w:themeFill="accent1" w:themeFillTint="33"/>
            <w:tcMar>
              <w:top w:w="120" w:type="dxa"/>
              <w:left w:w="180" w:type="dxa"/>
              <w:bottom w:w="120" w:type="dxa"/>
              <w:right w:w="180" w:type="dxa"/>
            </w:tcMar>
            <w:hideMark/>
          </w:tcPr>
          <w:p w14:paraId="0C466B9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0C466B9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0C466B9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Konflik kepentingan muncul, saat kepentingan pribadi karyawan Abbott mengganggu, atau terkesan mengganggu kepentingan</w:t>
            </w:r>
            <w:r>
              <w:rPr>
                <w:rFonts w:ascii="Calibri" w:eastAsia="Calibri" w:hAnsi="Calibri" w:cs="Calibri"/>
                <w:lang w:val="id-ID"/>
              </w:rPr>
              <w:t xml:space="preserve"> Abbott. </w:t>
            </w:r>
          </w:p>
        </w:tc>
      </w:tr>
      <w:tr w:rsidR="007C44A2" w14:paraId="0C466BA2" w14:textId="77777777">
        <w:tc>
          <w:tcPr>
            <w:tcW w:w="1129" w:type="dxa"/>
            <w:shd w:val="clear" w:color="auto" w:fill="D9E2F3" w:themeFill="accent1" w:themeFillTint="33"/>
            <w:tcMar>
              <w:top w:w="120" w:type="dxa"/>
              <w:left w:w="180" w:type="dxa"/>
              <w:bottom w:w="120" w:type="dxa"/>
              <w:right w:w="180" w:type="dxa"/>
            </w:tcMar>
            <w:hideMark/>
          </w:tcPr>
          <w:p w14:paraId="0C466B9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466BA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0C466BA1" w14:textId="77777777" w:rsidR="007C44A2" w:rsidRDefault="00402097">
            <w:pPr>
              <w:spacing w:before="30" w:after="30"/>
              <w:ind w:left="30" w:right="30"/>
              <w:rPr>
                <w:rFonts w:ascii="Calibri" w:eastAsia="Times New Roman" w:hAnsi="Calibri" w:cs="Calibri"/>
                <w:lang w:val="it-IT"/>
              </w:rPr>
            </w:pPr>
            <w:r>
              <w:rPr>
                <w:rFonts w:ascii="Calibri" w:eastAsia="Calibri" w:hAnsi="Calibri" w:cs="Calibri"/>
                <w:lang w:val="id-ID"/>
              </w:rPr>
              <w:t>ALASAN PENTINGNYA MENGHINDARI KONFLIK KEPENTINGAN</w:t>
            </w:r>
          </w:p>
        </w:tc>
      </w:tr>
      <w:tr w:rsidR="007C44A2" w14:paraId="0C466BA6" w14:textId="77777777">
        <w:tc>
          <w:tcPr>
            <w:tcW w:w="1129" w:type="dxa"/>
            <w:shd w:val="clear" w:color="auto" w:fill="D9E2F3" w:themeFill="accent1" w:themeFillTint="33"/>
            <w:tcMar>
              <w:top w:w="120" w:type="dxa"/>
              <w:left w:w="180" w:type="dxa"/>
              <w:bottom w:w="120" w:type="dxa"/>
              <w:right w:w="180" w:type="dxa"/>
            </w:tcMar>
            <w:hideMark/>
          </w:tcPr>
          <w:p w14:paraId="0C466BA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0C466BA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By putting, or appearing to put, our personal interests above those of our stakeholders, we erode trust - which can affect the reputation a</w:t>
            </w:r>
            <w:r>
              <w:rPr>
                <w:rFonts w:ascii="Calibri" w:eastAsia="Times New Roman" w:hAnsi="Calibri" w:cs="Calibri"/>
                <w:lang w:val="en-US"/>
              </w:rPr>
              <w:t xml:space="preserve">nd performance of Abbott. </w:t>
            </w:r>
          </w:p>
        </w:tc>
        <w:tc>
          <w:tcPr>
            <w:tcW w:w="6000" w:type="dxa"/>
            <w:vAlign w:val="center"/>
          </w:tcPr>
          <w:p w14:paraId="0C466BA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Dengan meletakkan, atau terkesan meletakkan, kepentingan pribadi kita di atas kepentingan pemangku kepentingan kita, kita mengikis kepercayaan – yang kemudian dapat memengaruhi reputasi dan kinerja Abbott. </w:t>
            </w:r>
          </w:p>
        </w:tc>
      </w:tr>
      <w:tr w:rsidR="007C44A2" w14:paraId="0C466BAA" w14:textId="77777777">
        <w:tc>
          <w:tcPr>
            <w:tcW w:w="1129" w:type="dxa"/>
            <w:shd w:val="clear" w:color="auto" w:fill="D9E2F3" w:themeFill="accent1" w:themeFillTint="33"/>
            <w:tcMar>
              <w:top w:w="120" w:type="dxa"/>
              <w:left w:w="180" w:type="dxa"/>
              <w:bottom w:w="120" w:type="dxa"/>
              <w:right w:w="180" w:type="dxa"/>
            </w:tcMar>
            <w:hideMark/>
          </w:tcPr>
          <w:p w14:paraId="0C466BA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0C466BA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THE KEY TO RESO</w:t>
            </w:r>
            <w:r>
              <w:rPr>
                <w:rFonts w:ascii="Calibri" w:eastAsia="Times New Roman" w:hAnsi="Calibri" w:cs="Calibri"/>
                <w:lang w:val="en-US"/>
              </w:rPr>
              <w:t xml:space="preserve">LVING CONFLICTS OF INTERESTS </w:t>
            </w:r>
          </w:p>
        </w:tc>
        <w:tc>
          <w:tcPr>
            <w:tcW w:w="6000" w:type="dxa"/>
            <w:vAlign w:val="center"/>
          </w:tcPr>
          <w:p w14:paraId="0C466BA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KUNCI DALAM MENYELESAIKAN KONFLIK KEPENTINGAN </w:t>
            </w:r>
          </w:p>
        </w:tc>
      </w:tr>
      <w:tr w:rsidR="007C44A2" w14:paraId="0C466BAE" w14:textId="77777777">
        <w:tc>
          <w:tcPr>
            <w:tcW w:w="1129" w:type="dxa"/>
            <w:shd w:val="clear" w:color="auto" w:fill="D9E2F3" w:themeFill="accent1" w:themeFillTint="33"/>
            <w:tcMar>
              <w:top w:w="120" w:type="dxa"/>
              <w:left w:w="180" w:type="dxa"/>
              <w:bottom w:w="120" w:type="dxa"/>
              <w:right w:w="180" w:type="dxa"/>
            </w:tcMar>
            <w:hideMark/>
          </w:tcPr>
          <w:p w14:paraId="0C466BA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0C466BA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0C466BA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Kunci untuk menyelesaikan konflik ialah menyampaikan konflik tersebut secara terbuka kepada manajer Anda, sehingga keadaan dapat diperiksa dan ditangani sebagaimana mestinya. </w:t>
            </w:r>
          </w:p>
        </w:tc>
      </w:tr>
      <w:tr w:rsidR="007C44A2" w14:paraId="0C466BB2" w14:textId="77777777">
        <w:tc>
          <w:tcPr>
            <w:tcW w:w="1129" w:type="dxa"/>
            <w:shd w:val="clear" w:color="auto" w:fill="D9E2F3" w:themeFill="accent1" w:themeFillTint="33"/>
            <w:tcMar>
              <w:top w:w="120" w:type="dxa"/>
              <w:left w:w="180" w:type="dxa"/>
              <w:bottom w:w="120" w:type="dxa"/>
              <w:right w:w="180" w:type="dxa"/>
            </w:tcMar>
            <w:hideMark/>
          </w:tcPr>
          <w:p w14:paraId="0C466BA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0C466BB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0C466BB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Anda telah menyelesaikan bagian {a}</w:t>
            </w:r>
            <w:r>
              <w:rPr>
                <w:rFonts w:ascii="Calibri" w:eastAsia="Calibri" w:hAnsi="Calibri" w:cs="Calibri"/>
                <w:lang w:val="id-ID"/>
              </w:rPr>
              <w:t xml:space="preserve"> dari {b}</w:t>
            </w:r>
          </w:p>
        </w:tc>
      </w:tr>
      <w:tr w:rsidR="007C44A2" w14:paraId="0C466BB6" w14:textId="77777777">
        <w:tc>
          <w:tcPr>
            <w:tcW w:w="1129" w:type="dxa"/>
            <w:shd w:val="clear" w:color="auto" w:fill="D9E2F3" w:themeFill="accent1" w:themeFillTint="33"/>
            <w:tcMar>
              <w:top w:w="120" w:type="dxa"/>
              <w:left w:w="180" w:type="dxa"/>
              <w:bottom w:w="120" w:type="dxa"/>
              <w:right w:w="180" w:type="dxa"/>
            </w:tcMar>
          </w:tcPr>
          <w:p w14:paraId="0C466BB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0C466BB4" w14:textId="77777777" w:rsidR="007C44A2" w:rsidRDefault="00402097">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0C466BB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eastAsia="en-US"/>
              </w:rPr>
              <w:t>KLIK PANAH MAJU UNTUK MELANJUTKAN PEMBELAJARAN</w:t>
            </w:r>
          </w:p>
        </w:tc>
      </w:tr>
      <w:tr w:rsidR="007C44A2" w14:paraId="0C466BBA" w14:textId="77777777">
        <w:tc>
          <w:tcPr>
            <w:tcW w:w="1129" w:type="dxa"/>
            <w:shd w:val="clear" w:color="auto" w:fill="D9E2F3" w:themeFill="accent1" w:themeFillTint="33"/>
            <w:tcMar>
              <w:top w:w="120" w:type="dxa"/>
              <w:left w:w="180" w:type="dxa"/>
              <w:bottom w:w="120" w:type="dxa"/>
              <w:right w:w="180" w:type="dxa"/>
            </w:tcMar>
            <w:hideMark/>
          </w:tcPr>
          <w:p w14:paraId="0C466BB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0C466BB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0C466BB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panah untuk memulai tinjauan Anda.</w:t>
            </w:r>
          </w:p>
        </w:tc>
      </w:tr>
      <w:tr w:rsidR="007C44A2" w14:paraId="0C466BBE" w14:textId="77777777">
        <w:tc>
          <w:tcPr>
            <w:tcW w:w="1129" w:type="dxa"/>
            <w:shd w:val="clear" w:color="auto" w:fill="D9E2F3" w:themeFill="accent1" w:themeFillTint="33"/>
            <w:tcMar>
              <w:top w:w="120" w:type="dxa"/>
              <w:left w:w="180" w:type="dxa"/>
              <w:bottom w:w="120" w:type="dxa"/>
              <w:right w:w="180" w:type="dxa"/>
            </w:tcMar>
            <w:hideMark/>
          </w:tcPr>
          <w:p w14:paraId="0C466BB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0C466BB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0C466BB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Untuk melihat kemajuan Anda, klik tombol Menu.</w:t>
            </w:r>
          </w:p>
        </w:tc>
      </w:tr>
      <w:tr w:rsidR="007C44A2" w14:paraId="0C466BC2" w14:textId="77777777">
        <w:tc>
          <w:tcPr>
            <w:tcW w:w="1129" w:type="dxa"/>
            <w:shd w:val="clear" w:color="auto" w:fill="D9E2F3" w:themeFill="accent1" w:themeFillTint="33"/>
            <w:tcMar>
              <w:top w:w="120" w:type="dxa"/>
              <w:left w:w="180" w:type="dxa"/>
              <w:bottom w:w="120" w:type="dxa"/>
              <w:right w:w="180" w:type="dxa"/>
            </w:tcMar>
            <w:hideMark/>
          </w:tcPr>
          <w:p w14:paraId="0C466BB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0C466BC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0C466BC1"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Konflik kepentingan umumnya meliputi enam kategori luas. Mari me</w:t>
            </w:r>
            <w:r>
              <w:rPr>
                <w:rFonts w:ascii="Calibri" w:eastAsia="Calibri" w:hAnsi="Calibri" w:cs="Calibri"/>
                <w:lang w:val="id-ID"/>
              </w:rPr>
              <w:t>mulai dengan melihat contoh konflik kepentingan keuangan.</w:t>
            </w:r>
          </w:p>
        </w:tc>
      </w:tr>
      <w:tr w:rsidR="007C44A2" w14:paraId="0C466BC6" w14:textId="77777777">
        <w:tc>
          <w:tcPr>
            <w:tcW w:w="1129" w:type="dxa"/>
            <w:shd w:val="clear" w:color="auto" w:fill="D9E2F3" w:themeFill="accent1" w:themeFillTint="33"/>
            <w:tcMar>
              <w:top w:w="120" w:type="dxa"/>
              <w:left w:w="180" w:type="dxa"/>
              <w:bottom w:w="120" w:type="dxa"/>
              <w:right w:w="180" w:type="dxa"/>
            </w:tcMar>
            <w:hideMark/>
          </w:tcPr>
          <w:p w14:paraId="0C466BC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0C466BC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0C466BC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Sekarang, mari mempertimbangkan konflik kepentingan yang melibatkan anggota keluarga. </w:t>
            </w:r>
          </w:p>
        </w:tc>
      </w:tr>
      <w:tr w:rsidR="007C44A2" w14:paraId="0C466BCA" w14:textId="77777777">
        <w:tc>
          <w:tcPr>
            <w:tcW w:w="1129" w:type="dxa"/>
            <w:shd w:val="clear" w:color="auto" w:fill="D9E2F3" w:themeFill="accent1" w:themeFillTint="33"/>
            <w:tcMar>
              <w:top w:w="120" w:type="dxa"/>
              <w:left w:w="180" w:type="dxa"/>
              <w:bottom w:w="120" w:type="dxa"/>
              <w:right w:w="180" w:type="dxa"/>
            </w:tcMar>
            <w:hideMark/>
          </w:tcPr>
          <w:p w14:paraId="0C466BC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C466BC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Therefore, individual Abbott </w:t>
            </w:r>
            <w:r>
              <w:rPr>
                <w:rFonts w:ascii="Calibri" w:eastAsia="Times New Roman" w:hAnsi="Calibri" w:cs="Calibri"/>
                <w:lang w:val="en-US"/>
              </w:rPr>
              <w:t>employees must not do business on behalf of Abbott with family members or companies owned directly or indirectly by family members.</w:t>
            </w:r>
          </w:p>
        </w:tc>
        <w:tc>
          <w:tcPr>
            <w:tcW w:w="6000" w:type="dxa"/>
            <w:vAlign w:val="center"/>
          </w:tcPr>
          <w:p w14:paraId="0C466BC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Oleh karena itu, masing</w:t>
            </w:r>
            <w:r>
              <w:rPr>
                <w:rFonts w:ascii="Calibri" w:eastAsia="Calibri" w:hAnsi="Calibri" w:cs="Calibri"/>
                <w:lang w:val="id-ID"/>
              </w:rPr>
              <w:noBreakHyphen/>
              <w:t xml:space="preserve">masing karyawan Abbott dilarang berbisnis atas nama Abbott dengan anggota keluarga atau </w:t>
            </w:r>
            <w:r>
              <w:rPr>
                <w:rFonts w:ascii="Calibri" w:eastAsia="Calibri" w:hAnsi="Calibri" w:cs="Calibri"/>
                <w:lang w:val="id-ID"/>
              </w:rPr>
              <w:t>perusahaan yang secara langsung maupun tidak langsung dimiliki oleh anggota keluarga.</w:t>
            </w:r>
          </w:p>
        </w:tc>
      </w:tr>
      <w:tr w:rsidR="007C44A2" w14:paraId="0C466BCE" w14:textId="77777777">
        <w:tc>
          <w:tcPr>
            <w:tcW w:w="1129" w:type="dxa"/>
            <w:shd w:val="clear" w:color="auto" w:fill="D9E2F3" w:themeFill="accent1" w:themeFillTint="33"/>
            <w:tcMar>
              <w:top w:w="120" w:type="dxa"/>
              <w:left w:w="180" w:type="dxa"/>
              <w:bottom w:w="120" w:type="dxa"/>
              <w:right w:w="180" w:type="dxa"/>
            </w:tcMar>
            <w:hideMark/>
          </w:tcPr>
          <w:p w14:paraId="0C466BC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0C466BC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0C466BC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Karena teman tersebut memiliki reputasi baik selama bekerja di Abbott, Sanjeet mengabaikan proses pemeriksaan normal dan memberikan kontrak kepada mantan koleganya tersebut.</w:t>
            </w:r>
          </w:p>
        </w:tc>
      </w:tr>
      <w:tr w:rsidR="007C44A2" w14:paraId="0C466BD2" w14:textId="77777777">
        <w:tc>
          <w:tcPr>
            <w:tcW w:w="1129" w:type="dxa"/>
            <w:shd w:val="clear" w:color="auto" w:fill="D9E2F3" w:themeFill="accent1" w:themeFillTint="33"/>
            <w:tcMar>
              <w:top w:w="120" w:type="dxa"/>
              <w:left w:w="180" w:type="dxa"/>
              <w:bottom w:w="120" w:type="dxa"/>
              <w:right w:w="180" w:type="dxa"/>
            </w:tcMar>
            <w:hideMark/>
          </w:tcPr>
          <w:p w14:paraId="0C466BC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0C466BD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Did Sanjeet handle the distributor selection process appropriately?</w:t>
            </w:r>
          </w:p>
        </w:tc>
        <w:tc>
          <w:tcPr>
            <w:tcW w:w="6000" w:type="dxa"/>
            <w:vAlign w:val="center"/>
          </w:tcPr>
          <w:p w14:paraId="0C466BD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Apakah </w:t>
            </w:r>
            <w:r>
              <w:rPr>
                <w:rFonts w:ascii="Calibri" w:eastAsia="Calibri" w:hAnsi="Calibri" w:cs="Calibri"/>
                <w:lang w:val="id-ID"/>
              </w:rPr>
              <w:t>Sanjeet menangani proses seleksi distributor dengan benar?</w:t>
            </w:r>
          </w:p>
        </w:tc>
      </w:tr>
      <w:tr w:rsidR="007C44A2" w14:paraId="0C466BD6" w14:textId="77777777">
        <w:tc>
          <w:tcPr>
            <w:tcW w:w="1129" w:type="dxa"/>
            <w:shd w:val="clear" w:color="auto" w:fill="D9E2F3" w:themeFill="accent1" w:themeFillTint="33"/>
            <w:tcMar>
              <w:top w:w="120" w:type="dxa"/>
              <w:left w:w="180" w:type="dxa"/>
              <w:bottom w:w="120" w:type="dxa"/>
              <w:right w:w="180" w:type="dxa"/>
            </w:tcMar>
            <w:hideMark/>
          </w:tcPr>
          <w:p w14:paraId="0C466BD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C466BD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0C466BD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Tidak sepatu</w:t>
            </w:r>
            <w:r>
              <w:rPr>
                <w:rFonts w:ascii="Calibri" w:eastAsia="Calibri" w:hAnsi="Calibri" w:cs="Calibri"/>
                <w:lang w:val="id-ID"/>
              </w:rPr>
              <w:t>tnya memintas proses pemeriksaan normal, sekalipun jika ia yakin bahwa perusahaan temannya merupakan pilihan terbaik. Melakukan tindakan tersebut dapat menimbulkan kesan konflik kepentingan.</w:t>
            </w:r>
          </w:p>
        </w:tc>
      </w:tr>
      <w:tr w:rsidR="007C44A2" w14:paraId="0C466BDA" w14:textId="77777777">
        <w:tc>
          <w:tcPr>
            <w:tcW w:w="1129" w:type="dxa"/>
            <w:shd w:val="clear" w:color="auto" w:fill="D9E2F3" w:themeFill="accent1" w:themeFillTint="33"/>
            <w:tcMar>
              <w:top w:w="120" w:type="dxa"/>
              <w:left w:w="180" w:type="dxa"/>
              <w:bottom w:w="120" w:type="dxa"/>
              <w:right w:w="180" w:type="dxa"/>
            </w:tcMar>
            <w:hideMark/>
          </w:tcPr>
          <w:p w14:paraId="0C466BD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0C466BD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 should exclude his friend from the vetting </w:t>
            </w:r>
            <w:r>
              <w:rPr>
                <w:rFonts w:ascii="Calibri" w:eastAsia="Times New Roman" w:hAnsi="Calibri" w:cs="Calibri"/>
                <w:lang w:val="en-US"/>
              </w:rPr>
              <w:t>process.</w:t>
            </w:r>
          </w:p>
        </w:tc>
        <w:tc>
          <w:tcPr>
            <w:tcW w:w="6000" w:type="dxa"/>
            <w:vAlign w:val="center"/>
          </w:tcPr>
          <w:p w14:paraId="0C466BD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Sanjeet harus mengecualikan temannya dari proses pemeriksaan.</w:t>
            </w:r>
          </w:p>
        </w:tc>
      </w:tr>
      <w:tr w:rsidR="007C44A2" w14:paraId="0C466BDE" w14:textId="77777777">
        <w:tc>
          <w:tcPr>
            <w:tcW w:w="1129" w:type="dxa"/>
            <w:shd w:val="clear" w:color="auto" w:fill="D9E2F3" w:themeFill="accent1" w:themeFillTint="33"/>
            <w:tcMar>
              <w:top w:w="120" w:type="dxa"/>
              <w:left w:w="180" w:type="dxa"/>
              <w:bottom w:w="120" w:type="dxa"/>
              <w:right w:w="180" w:type="dxa"/>
            </w:tcMar>
            <w:hideMark/>
          </w:tcPr>
          <w:p w14:paraId="0C466BD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0C466BD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Sanjeet’s friend should not be excluded from the process, since it is in Abbott’s best interest to hire the best candidate for the job. Giving the hiring responsibility to anothe</w:t>
            </w:r>
            <w:r>
              <w:rPr>
                <w:rFonts w:ascii="Calibri" w:eastAsia="Times New Roman" w:hAnsi="Calibri" w:cs="Calibri"/>
                <w:lang w:val="en-US"/>
              </w:rPr>
              <w:t>r product manager would avoid the potential conflict of interest.</w:t>
            </w:r>
          </w:p>
        </w:tc>
        <w:tc>
          <w:tcPr>
            <w:tcW w:w="6000" w:type="dxa"/>
            <w:vAlign w:val="center"/>
          </w:tcPr>
          <w:p w14:paraId="0C466BD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Teman Sanjeet tidak boleh dikecualikan dari proses pemeriksaan, sebab perekrutan kandidat terbaik untuk pekerjaan tersebut termasuk dalam kepentingan terbaik Abbott. Memberikan tanggung jawa</w:t>
            </w:r>
            <w:r>
              <w:rPr>
                <w:rFonts w:ascii="Calibri" w:eastAsia="Calibri" w:hAnsi="Calibri" w:cs="Calibri"/>
                <w:lang w:val="id-ID"/>
              </w:rPr>
              <w:t>b perekrutan kepada manajer produk lain akan menghindarkan dari kemungkinan konflik kepentingan.</w:t>
            </w:r>
          </w:p>
        </w:tc>
      </w:tr>
      <w:tr w:rsidR="007C44A2" w14:paraId="0C466BE2" w14:textId="77777777">
        <w:tc>
          <w:tcPr>
            <w:tcW w:w="1129" w:type="dxa"/>
            <w:shd w:val="clear" w:color="auto" w:fill="D9E2F3" w:themeFill="accent1" w:themeFillTint="33"/>
            <w:tcMar>
              <w:top w:w="120" w:type="dxa"/>
              <w:left w:w="180" w:type="dxa"/>
              <w:bottom w:w="120" w:type="dxa"/>
              <w:right w:w="180" w:type="dxa"/>
            </w:tcMar>
            <w:hideMark/>
          </w:tcPr>
          <w:p w14:paraId="0C466BD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0C466BE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Gifts, payments, and other inducements may be accepted only in accordance with the Global Purchasing policy, Purchasing Code of Conduct for Interacting </w:t>
            </w:r>
            <w:r>
              <w:rPr>
                <w:rFonts w:ascii="Calibri" w:eastAsia="Times New Roman" w:hAnsi="Calibri" w:cs="Calibri"/>
                <w:lang w:val="en-US"/>
              </w:rPr>
              <w:t>with Suppliers (CPP 40), or any applicable affiliate policy.</w:t>
            </w:r>
          </w:p>
        </w:tc>
        <w:tc>
          <w:tcPr>
            <w:tcW w:w="6000" w:type="dxa"/>
            <w:vAlign w:val="center"/>
          </w:tcPr>
          <w:p w14:paraId="0C466BE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Hadiah, pembayaran, dan tawaran lainnya dapat diterima hanya sesuai dengan kebijakan Pembelian Global, Pedoman Perilaku Pembelian untuk Berinteraksi dengan Pemasok (CPP 40), atau kebijakan afilia</w:t>
            </w:r>
            <w:r>
              <w:rPr>
                <w:rFonts w:ascii="Calibri" w:eastAsia="Calibri" w:hAnsi="Calibri" w:cs="Calibri"/>
                <w:lang w:val="id-ID"/>
              </w:rPr>
              <w:t>si yang berlaku.</w:t>
            </w:r>
          </w:p>
        </w:tc>
      </w:tr>
      <w:tr w:rsidR="007C44A2" w14:paraId="0C466BE6" w14:textId="77777777">
        <w:tc>
          <w:tcPr>
            <w:tcW w:w="1129" w:type="dxa"/>
            <w:shd w:val="clear" w:color="auto" w:fill="D9E2F3" w:themeFill="accent1" w:themeFillTint="33"/>
            <w:tcMar>
              <w:top w:w="120" w:type="dxa"/>
              <w:left w:w="180" w:type="dxa"/>
              <w:bottom w:w="120" w:type="dxa"/>
              <w:right w:w="180" w:type="dxa"/>
            </w:tcMar>
            <w:hideMark/>
          </w:tcPr>
          <w:p w14:paraId="0C466BE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0C466BE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w:t>
            </w:r>
            <w:r>
              <w:rPr>
                <w:rFonts w:ascii="Calibri" w:eastAsia="Times New Roman" w:hAnsi="Calibri" w:cs="Calibri"/>
                <w:lang w:val="en-US"/>
              </w:rPr>
              <w:t>d along. She does not mention the event to her manager.</w:t>
            </w:r>
          </w:p>
        </w:tc>
        <w:tc>
          <w:tcPr>
            <w:tcW w:w="6000" w:type="dxa"/>
            <w:vAlign w:val="center"/>
          </w:tcPr>
          <w:p w14:paraId="0C466BE5" w14:textId="77777777" w:rsidR="007C44A2" w:rsidRDefault="00402097">
            <w:pPr>
              <w:spacing w:before="30" w:after="30"/>
              <w:ind w:left="30" w:right="30"/>
              <w:rPr>
                <w:rFonts w:ascii="Calibri" w:eastAsia="Times New Roman" w:hAnsi="Calibri" w:cs="Calibri"/>
                <w:lang w:val="es-ES"/>
              </w:rPr>
            </w:pPr>
            <w:r>
              <w:rPr>
                <w:rFonts w:ascii="Calibri" w:eastAsia="Calibri" w:hAnsi="Calibri" w:cs="Calibri"/>
                <w:lang w:val="id-ID"/>
              </w:rPr>
              <w:t xml:space="preserve">Isabella, Direktur Urusan Publik Abbott, ditawari dua tiket kursi di bagian utama untuk sebuah pertunjukan teater oleh sebuah perusahaan yang ingin memberikan layanan konsultasi bagi Abbott. Isabella </w:t>
            </w:r>
            <w:r>
              <w:rPr>
                <w:rFonts w:ascii="Calibri" w:eastAsia="Calibri" w:hAnsi="Calibri" w:cs="Calibri"/>
                <w:lang w:val="id-ID"/>
              </w:rPr>
              <w:t>menerima tiket tersebut dan berencana mengajak suaminya. Dia tidak memberitahukan acara tersebut kepada manajernya.</w:t>
            </w:r>
          </w:p>
        </w:tc>
      </w:tr>
      <w:tr w:rsidR="007C44A2" w14:paraId="0C466BEA" w14:textId="77777777">
        <w:tc>
          <w:tcPr>
            <w:tcW w:w="1129" w:type="dxa"/>
            <w:shd w:val="clear" w:color="auto" w:fill="D9E2F3" w:themeFill="accent1" w:themeFillTint="33"/>
            <w:tcMar>
              <w:top w:w="120" w:type="dxa"/>
              <w:left w:w="180" w:type="dxa"/>
              <w:bottom w:w="120" w:type="dxa"/>
              <w:right w:w="180" w:type="dxa"/>
            </w:tcMar>
            <w:hideMark/>
          </w:tcPr>
          <w:p w14:paraId="0C466BE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0C466BE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0C466BE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Tiket </w:t>
            </w:r>
            <w:r>
              <w:rPr>
                <w:rFonts w:ascii="Calibri" w:eastAsia="Calibri" w:hAnsi="Calibri" w:cs="Calibri"/>
                <w:lang w:val="id-ID"/>
              </w:rPr>
              <w:t>tersebut untuk kursi utama, sehingga tidak memenuhi persyaratan yang melarang acara mewah, dan</w:t>
            </w:r>
          </w:p>
        </w:tc>
      </w:tr>
      <w:tr w:rsidR="007C44A2" w14:paraId="0C466BEE" w14:textId="77777777">
        <w:tc>
          <w:tcPr>
            <w:tcW w:w="1129" w:type="dxa"/>
            <w:shd w:val="clear" w:color="auto" w:fill="D9E2F3" w:themeFill="accent1" w:themeFillTint="33"/>
            <w:tcMar>
              <w:top w:w="120" w:type="dxa"/>
              <w:left w:w="180" w:type="dxa"/>
              <w:bottom w:w="120" w:type="dxa"/>
              <w:right w:w="180" w:type="dxa"/>
            </w:tcMar>
            <w:hideMark/>
          </w:tcPr>
          <w:p w14:paraId="0C466BE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0C466BE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Isabella were to attend (and bring her husband along), she could create the perception that any future business she might do with the potential vendor </w:t>
            </w:r>
            <w:r>
              <w:rPr>
                <w:rFonts w:ascii="Calibri" w:eastAsia="Times New Roman" w:hAnsi="Calibri" w:cs="Calibri"/>
                <w:lang w:val="en-US"/>
              </w:rPr>
              <w:t>is a result of the tickets she received.</w:t>
            </w:r>
          </w:p>
        </w:tc>
        <w:tc>
          <w:tcPr>
            <w:tcW w:w="6000" w:type="dxa"/>
            <w:vAlign w:val="center"/>
          </w:tcPr>
          <w:p w14:paraId="0C466BE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Jika Isabella bermaksud hadir (dan mengajak serta suaminya), ia dapat menimbulkan persepsi bahwa setiap bisnis di kemudian hari yang ia lakukan bersama calon vendor tersebut merupakan hasil dari tiket yang ia terima</w:t>
            </w:r>
            <w:r>
              <w:rPr>
                <w:rFonts w:ascii="Calibri" w:eastAsia="Calibri" w:hAnsi="Calibri" w:cs="Calibri"/>
                <w:lang w:val="id-ID"/>
              </w:rPr>
              <w:t>.</w:t>
            </w:r>
          </w:p>
        </w:tc>
      </w:tr>
      <w:tr w:rsidR="007C44A2" w14:paraId="0C466BF2" w14:textId="77777777">
        <w:tc>
          <w:tcPr>
            <w:tcW w:w="1129" w:type="dxa"/>
            <w:shd w:val="clear" w:color="auto" w:fill="D9E2F3" w:themeFill="accent1" w:themeFillTint="33"/>
            <w:tcMar>
              <w:top w:w="120" w:type="dxa"/>
              <w:left w:w="180" w:type="dxa"/>
              <w:bottom w:w="120" w:type="dxa"/>
              <w:right w:w="180" w:type="dxa"/>
            </w:tcMar>
            <w:hideMark/>
          </w:tcPr>
          <w:p w14:paraId="0C466BE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0C466BF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0C466BF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Lara, manajer pemasaran Abbott Nutrition, mengetahui peluang</w:t>
            </w:r>
            <w:r>
              <w:rPr>
                <w:rFonts w:ascii="Calibri" w:eastAsia="Calibri" w:hAnsi="Calibri" w:cs="Calibri"/>
                <w:lang w:val="id-ID"/>
              </w:rPr>
              <w:t xml:space="preserve"> untuk turut menjadi pemilik sebuah perusahaan rintisan yang memproduksi minibar nutrisi bagi anak pengidap diabetes. </w:t>
            </w:r>
          </w:p>
        </w:tc>
      </w:tr>
      <w:tr w:rsidR="007C44A2" w14:paraId="0C466BF6" w14:textId="77777777">
        <w:tc>
          <w:tcPr>
            <w:tcW w:w="1129" w:type="dxa"/>
            <w:shd w:val="clear" w:color="auto" w:fill="D9E2F3" w:themeFill="accent1" w:themeFillTint="33"/>
            <w:tcMar>
              <w:top w:w="120" w:type="dxa"/>
              <w:left w:w="180" w:type="dxa"/>
              <w:bottom w:w="120" w:type="dxa"/>
              <w:right w:w="180" w:type="dxa"/>
            </w:tcMar>
            <w:hideMark/>
          </w:tcPr>
          <w:p w14:paraId="0C466BF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0C466BF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This is a conflict because Lara’s business would be a logical extension of Abbott’s current business. Lara must first </w:t>
            </w:r>
            <w:r>
              <w:rPr>
                <w:rFonts w:ascii="Calibri" w:eastAsia="Times New Roman" w:hAnsi="Calibri" w:cs="Calibri"/>
                <w:lang w:val="en-US"/>
              </w:rPr>
              <w:t>disclose the opportunity to Abbott, so Abbott can evaluate whether it wishes to make the investment.</w:t>
            </w:r>
          </w:p>
        </w:tc>
        <w:tc>
          <w:tcPr>
            <w:tcW w:w="6000" w:type="dxa"/>
            <w:vAlign w:val="center"/>
          </w:tcPr>
          <w:p w14:paraId="0C466BF5"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Ini merupakan konflik karena bisnis Lara mungkin akan menjadi perpanjangan logis bisnis Abbott saat ini. Lara harus terlebih dahulu mengungkapkan peluang t</w:t>
            </w:r>
            <w:r>
              <w:rPr>
                <w:rFonts w:ascii="Calibri" w:eastAsia="Calibri" w:hAnsi="Calibri" w:cs="Calibri"/>
                <w:lang w:val="id-ID"/>
              </w:rPr>
              <w:t>ersebut kepada Abbott, sehingga Abbott dapat mengevaluasi apakah pihaknya bersedia melakukan investasi.</w:t>
            </w:r>
          </w:p>
        </w:tc>
      </w:tr>
      <w:tr w:rsidR="007C44A2" w14:paraId="0C466BFA" w14:textId="77777777">
        <w:tc>
          <w:tcPr>
            <w:tcW w:w="1129" w:type="dxa"/>
            <w:shd w:val="clear" w:color="auto" w:fill="D9E2F3" w:themeFill="accent1" w:themeFillTint="33"/>
            <w:tcMar>
              <w:top w:w="120" w:type="dxa"/>
              <w:left w:w="180" w:type="dxa"/>
              <w:bottom w:w="120" w:type="dxa"/>
              <w:right w:w="180" w:type="dxa"/>
            </w:tcMar>
            <w:hideMark/>
          </w:tcPr>
          <w:p w14:paraId="0C466BF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0C466BF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Abbott defines a corporate opportunity as a business opportunity that would be a logical extension of Abbott’s current business or would be in </w:t>
            </w:r>
            <w:r>
              <w:rPr>
                <w:rFonts w:ascii="Calibri" w:eastAsia="Times New Roman" w:hAnsi="Calibri" w:cs="Calibri"/>
                <w:lang w:val="en-US"/>
              </w:rPr>
              <w:t>competition with Abbott’s business.</w:t>
            </w:r>
          </w:p>
        </w:tc>
        <w:tc>
          <w:tcPr>
            <w:tcW w:w="6000" w:type="dxa"/>
            <w:vAlign w:val="center"/>
          </w:tcPr>
          <w:p w14:paraId="0C466BF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Abbott mendefinisikan peluang perusahaan sebagai peluang bisnis yang akan menjadi perpanjangan logis bisnis Abbott saat ini atau akan menjadi pesaing bisnis Abbott.</w:t>
            </w:r>
          </w:p>
        </w:tc>
      </w:tr>
      <w:tr w:rsidR="007C44A2" w14:paraId="0C466BFE" w14:textId="77777777">
        <w:tc>
          <w:tcPr>
            <w:tcW w:w="1129" w:type="dxa"/>
            <w:shd w:val="clear" w:color="auto" w:fill="D9E2F3" w:themeFill="accent1" w:themeFillTint="33"/>
            <w:tcMar>
              <w:top w:w="120" w:type="dxa"/>
              <w:left w:w="180" w:type="dxa"/>
              <w:bottom w:w="120" w:type="dxa"/>
              <w:right w:w="180" w:type="dxa"/>
            </w:tcMar>
            <w:hideMark/>
          </w:tcPr>
          <w:p w14:paraId="0C466BF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0C466BF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As with any outside employment opportunity, Juan</w:t>
            </w:r>
            <w:r>
              <w:rPr>
                <w:rFonts w:ascii="Calibri" w:eastAsia="Times New Roman" w:hAnsi="Calibri" w:cs="Calibri"/>
                <w:lang w:val="en-US"/>
              </w:rPr>
              <w:t xml:space="preserve"> should assume that this is a potential conflict of interest and discuss the situation with his manager. </w:t>
            </w:r>
          </w:p>
        </w:tc>
        <w:tc>
          <w:tcPr>
            <w:tcW w:w="6000" w:type="dxa"/>
            <w:vAlign w:val="center"/>
          </w:tcPr>
          <w:p w14:paraId="0C466BF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Sama halnya dengan peluang pekerjaan atau konsultasi di luar perusahaan, Juan harus menganggap bahwa ini merupakan kemungkinan konflik kepentingan dan</w:t>
            </w:r>
            <w:r>
              <w:rPr>
                <w:rFonts w:ascii="Calibri" w:eastAsia="Calibri" w:hAnsi="Calibri" w:cs="Calibri"/>
                <w:lang w:val="id-ID"/>
              </w:rPr>
              <w:t xml:space="preserve"> membahasnya dengan manajernya. </w:t>
            </w:r>
          </w:p>
        </w:tc>
      </w:tr>
      <w:tr w:rsidR="007C44A2" w14:paraId="0C466C02" w14:textId="77777777">
        <w:tc>
          <w:tcPr>
            <w:tcW w:w="1129" w:type="dxa"/>
            <w:shd w:val="clear" w:color="auto" w:fill="D9E2F3" w:themeFill="accent1" w:themeFillTint="33"/>
            <w:tcMar>
              <w:top w:w="120" w:type="dxa"/>
              <w:left w:w="180" w:type="dxa"/>
              <w:bottom w:w="120" w:type="dxa"/>
              <w:right w:w="180" w:type="dxa"/>
            </w:tcMar>
            <w:hideMark/>
          </w:tcPr>
          <w:p w14:paraId="0C466BF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C466C0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0C466C0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Vendor</w:t>
            </w:r>
          </w:p>
        </w:tc>
      </w:tr>
      <w:tr w:rsidR="007C44A2" w14:paraId="0C466C06" w14:textId="77777777">
        <w:tc>
          <w:tcPr>
            <w:tcW w:w="1129" w:type="dxa"/>
            <w:shd w:val="clear" w:color="auto" w:fill="D9E2F3" w:themeFill="accent1" w:themeFillTint="33"/>
            <w:tcMar>
              <w:top w:w="120" w:type="dxa"/>
              <w:left w:w="180" w:type="dxa"/>
              <w:bottom w:w="120" w:type="dxa"/>
              <w:right w:w="180" w:type="dxa"/>
            </w:tcMar>
            <w:hideMark/>
          </w:tcPr>
          <w:p w14:paraId="0C466C0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0C466C0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0C466C0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Pemasok</w:t>
            </w:r>
          </w:p>
        </w:tc>
      </w:tr>
      <w:tr w:rsidR="007C44A2" w14:paraId="0C466C0A" w14:textId="77777777">
        <w:tc>
          <w:tcPr>
            <w:tcW w:w="1129" w:type="dxa"/>
            <w:shd w:val="clear" w:color="auto" w:fill="D9E2F3" w:themeFill="accent1" w:themeFillTint="33"/>
            <w:tcMar>
              <w:top w:w="120" w:type="dxa"/>
              <w:left w:w="180" w:type="dxa"/>
              <w:bottom w:w="120" w:type="dxa"/>
              <w:right w:w="180" w:type="dxa"/>
            </w:tcMar>
            <w:hideMark/>
          </w:tcPr>
          <w:p w14:paraId="0C466C0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0C466C0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0C466C0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Perusahaan lain yang berbisnis dengan Abbott</w:t>
            </w:r>
          </w:p>
        </w:tc>
      </w:tr>
      <w:tr w:rsidR="007C44A2" w14:paraId="0C466C0E" w14:textId="77777777">
        <w:tc>
          <w:tcPr>
            <w:tcW w:w="1129" w:type="dxa"/>
            <w:shd w:val="clear" w:color="auto" w:fill="D9E2F3" w:themeFill="accent1" w:themeFillTint="33"/>
            <w:tcMar>
              <w:top w:w="120" w:type="dxa"/>
              <w:left w:w="180" w:type="dxa"/>
              <w:bottom w:w="120" w:type="dxa"/>
              <w:right w:w="180" w:type="dxa"/>
            </w:tcMar>
            <w:hideMark/>
          </w:tcPr>
          <w:p w14:paraId="0C466C0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0C466C0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Professional organizations (e.g., The European Society for Medical </w:t>
            </w:r>
            <w:r>
              <w:rPr>
                <w:rFonts w:ascii="Calibri" w:eastAsia="Times New Roman" w:hAnsi="Calibri" w:cs="Calibri"/>
                <w:lang w:val="en-US"/>
              </w:rPr>
              <w:t>Oncology, American Nurses Association)</w:t>
            </w:r>
          </w:p>
        </w:tc>
        <w:tc>
          <w:tcPr>
            <w:tcW w:w="6000" w:type="dxa"/>
            <w:vAlign w:val="center"/>
          </w:tcPr>
          <w:p w14:paraId="0C466C0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Organisasi profesional (mis. The European Society for Medical Oncology, American Nurses Association)</w:t>
            </w:r>
          </w:p>
        </w:tc>
      </w:tr>
      <w:tr w:rsidR="007C44A2" w14:paraId="0C466C12" w14:textId="77777777">
        <w:tc>
          <w:tcPr>
            <w:tcW w:w="1129" w:type="dxa"/>
            <w:shd w:val="clear" w:color="auto" w:fill="D9E2F3" w:themeFill="accent1" w:themeFillTint="33"/>
            <w:tcMar>
              <w:top w:w="120" w:type="dxa"/>
              <w:left w:w="180" w:type="dxa"/>
              <w:bottom w:w="120" w:type="dxa"/>
              <w:right w:w="180" w:type="dxa"/>
            </w:tcMar>
            <w:hideMark/>
          </w:tcPr>
          <w:p w14:paraId="0C466C0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0C466C1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Trade organizations</w:t>
            </w:r>
          </w:p>
        </w:tc>
        <w:tc>
          <w:tcPr>
            <w:tcW w:w="6000" w:type="dxa"/>
            <w:vAlign w:val="center"/>
          </w:tcPr>
          <w:p w14:paraId="0C466C1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Organisasi dagang</w:t>
            </w:r>
          </w:p>
        </w:tc>
      </w:tr>
      <w:tr w:rsidR="007C44A2" w14:paraId="0C466C16" w14:textId="77777777">
        <w:tc>
          <w:tcPr>
            <w:tcW w:w="1129" w:type="dxa"/>
            <w:shd w:val="clear" w:color="auto" w:fill="D9E2F3" w:themeFill="accent1" w:themeFillTint="33"/>
            <w:tcMar>
              <w:top w:w="120" w:type="dxa"/>
              <w:left w:w="180" w:type="dxa"/>
              <w:bottom w:w="120" w:type="dxa"/>
              <w:right w:w="180" w:type="dxa"/>
            </w:tcMar>
            <w:hideMark/>
          </w:tcPr>
          <w:p w14:paraId="0C466C1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0C466C1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0C466C1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Rumah sakit dan pelanggan </w:t>
            </w:r>
            <w:r>
              <w:rPr>
                <w:rFonts w:ascii="Calibri" w:eastAsia="Calibri" w:hAnsi="Calibri" w:cs="Calibri"/>
                <w:lang w:val="id-ID"/>
              </w:rPr>
              <w:t>lainnya</w:t>
            </w:r>
          </w:p>
        </w:tc>
      </w:tr>
      <w:tr w:rsidR="007C44A2" w14:paraId="0C466C1A" w14:textId="77777777">
        <w:tc>
          <w:tcPr>
            <w:tcW w:w="1129" w:type="dxa"/>
            <w:shd w:val="clear" w:color="auto" w:fill="D9E2F3" w:themeFill="accent1" w:themeFillTint="33"/>
            <w:tcMar>
              <w:top w:w="120" w:type="dxa"/>
              <w:left w:w="180" w:type="dxa"/>
              <w:bottom w:w="120" w:type="dxa"/>
              <w:right w:w="180" w:type="dxa"/>
            </w:tcMar>
            <w:hideMark/>
          </w:tcPr>
          <w:p w14:paraId="0C466C1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0C466C1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0C466C1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Badan usaha publik atau swasta yang menetapkan aturan atau standar yang berlaku terhadap bisnis Abbott, misalnya, Organisasi Kesehatan Dunia (WHO) </w:t>
            </w:r>
          </w:p>
        </w:tc>
      </w:tr>
      <w:tr w:rsidR="007C44A2" w14:paraId="0C466C1E" w14:textId="77777777">
        <w:tc>
          <w:tcPr>
            <w:tcW w:w="1129" w:type="dxa"/>
            <w:shd w:val="clear" w:color="auto" w:fill="D9E2F3" w:themeFill="accent1" w:themeFillTint="33"/>
            <w:tcMar>
              <w:top w:w="120" w:type="dxa"/>
              <w:left w:w="180" w:type="dxa"/>
              <w:bottom w:w="120" w:type="dxa"/>
              <w:right w:w="180" w:type="dxa"/>
            </w:tcMar>
            <w:hideMark/>
          </w:tcPr>
          <w:p w14:paraId="0C466C1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0C466C1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C466C1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C22" w14:textId="77777777">
        <w:tc>
          <w:tcPr>
            <w:tcW w:w="1129" w:type="dxa"/>
            <w:shd w:val="clear" w:color="auto" w:fill="D9E2F3" w:themeFill="accent1" w:themeFillTint="33"/>
            <w:tcMar>
              <w:top w:w="120" w:type="dxa"/>
              <w:left w:w="180" w:type="dxa"/>
              <w:bottom w:w="120" w:type="dxa"/>
              <w:right w:w="180" w:type="dxa"/>
            </w:tcMar>
          </w:tcPr>
          <w:p w14:paraId="0C466C1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0C466C20" w14:textId="77777777" w:rsidR="007C44A2" w:rsidRDefault="00402097">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0C466C2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Luangkan wa</w:t>
            </w:r>
            <w:r>
              <w:rPr>
                <w:rFonts w:ascii="Calibri" w:eastAsia="Calibri" w:hAnsi="Calibri" w:cs="Calibri"/>
                <w:lang w:val="id-ID"/>
              </w:rPr>
              <w:t>ktu sejenak untuk meninjau beberapa konsep utama dalam bagian ini.</w:t>
            </w:r>
          </w:p>
        </w:tc>
      </w:tr>
      <w:tr w:rsidR="007C44A2" w14:paraId="0C466C26" w14:textId="77777777">
        <w:tc>
          <w:tcPr>
            <w:tcW w:w="1129" w:type="dxa"/>
            <w:shd w:val="clear" w:color="auto" w:fill="D9E2F3" w:themeFill="accent1" w:themeFillTint="33"/>
            <w:tcMar>
              <w:top w:w="120" w:type="dxa"/>
              <w:left w:w="180" w:type="dxa"/>
              <w:bottom w:w="120" w:type="dxa"/>
              <w:right w:w="180" w:type="dxa"/>
            </w:tcMar>
            <w:hideMark/>
          </w:tcPr>
          <w:p w14:paraId="0C466C2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0C466C2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0C466C2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KEPENTINGAN KEUANGAN </w:t>
            </w:r>
          </w:p>
        </w:tc>
      </w:tr>
      <w:tr w:rsidR="007C44A2" w14:paraId="0C466C2A" w14:textId="77777777">
        <w:tc>
          <w:tcPr>
            <w:tcW w:w="1129" w:type="dxa"/>
            <w:shd w:val="clear" w:color="auto" w:fill="D9E2F3" w:themeFill="accent1" w:themeFillTint="33"/>
            <w:tcMar>
              <w:top w:w="120" w:type="dxa"/>
              <w:left w:w="180" w:type="dxa"/>
              <w:bottom w:w="120" w:type="dxa"/>
              <w:right w:w="180" w:type="dxa"/>
            </w:tcMar>
            <w:hideMark/>
          </w:tcPr>
          <w:p w14:paraId="0C466C2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0C466C2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conflicts of interest exist when an Abbott employee has a material, ownership, or other financial interest in a </w:t>
            </w:r>
            <w:r>
              <w:rPr>
                <w:rFonts w:ascii="Calibri" w:eastAsia="Times New Roman" w:hAnsi="Calibri" w:cs="Calibri"/>
                <w:lang w:val="en-US"/>
              </w:rPr>
              <w:t>business entity that conducts or seeks to conduct business with Abbott or is a competitor of Abbott.</w:t>
            </w:r>
          </w:p>
        </w:tc>
        <w:tc>
          <w:tcPr>
            <w:tcW w:w="6000" w:type="dxa"/>
            <w:vAlign w:val="center"/>
          </w:tcPr>
          <w:p w14:paraId="0C466C2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Konflik kepentingan keuangan muncul saat karyawan Abbott memiliki kepentingan material, kepemilikan, atau kepentingan keuangan lainnya dalam sebuah entitas</w:t>
            </w:r>
            <w:r>
              <w:rPr>
                <w:rFonts w:ascii="Calibri" w:eastAsia="Calibri" w:hAnsi="Calibri" w:cs="Calibri"/>
                <w:lang w:val="id-ID"/>
              </w:rPr>
              <w:t xml:space="preserve"> bisnis yang melakukan atau berupaya menjalankan bisnis dengan Abbott atau merupakan pesaing Abbott.</w:t>
            </w:r>
          </w:p>
        </w:tc>
      </w:tr>
      <w:tr w:rsidR="007C44A2" w14:paraId="0C466C2E" w14:textId="77777777">
        <w:tc>
          <w:tcPr>
            <w:tcW w:w="1129" w:type="dxa"/>
            <w:shd w:val="clear" w:color="auto" w:fill="D9E2F3" w:themeFill="accent1" w:themeFillTint="33"/>
            <w:tcMar>
              <w:top w:w="120" w:type="dxa"/>
              <w:left w:w="180" w:type="dxa"/>
              <w:bottom w:w="120" w:type="dxa"/>
              <w:right w:w="180" w:type="dxa"/>
            </w:tcMar>
            <w:hideMark/>
          </w:tcPr>
          <w:p w14:paraId="0C466C2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0C466C2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0C466C2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ANGGOTA KELUARGA</w:t>
            </w:r>
          </w:p>
        </w:tc>
      </w:tr>
      <w:tr w:rsidR="007C44A2" w14:paraId="0C466C32" w14:textId="77777777">
        <w:tc>
          <w:tcPr>
            <w:tcW w:w="1129" w:type="dxa"/>
            <w:shd w:val="clear" w:color="auto" w:fill="D9E2F3" w:themeFill="accent1" w:themeFillTint="33"/>
            <w:tcMar>
              <w:top w:w="120" w:type="dxa"/>
              <w:left w:w="180" w:type="dxa"/>
              <w:bottom w:w="120" w:type="dxa"/>
              <w:right w:w="180" w:type="dxa"/>
            </w:tcMar>
            <w:hideMark/>
          </w:tcPr>
          <w:p w14:paraId="0C466C2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0C466C3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 beh</w:t>
            </w:r>
            <w:r>
              <w:rPr>
                <w:rFonts w:ascii="Calibri" w:eastAsia="Times New Roman" w:hAnsi="Calibri" w:cs="Calibri"/>
                <w:lang w:val="en-US"/>
              </w:rPr>
              <w:t>alf of Abbott with a family member.</w:t>
            </w:r>
          </w:p>
        </w:tc>
        <w:tc>
          <w:tcPr>
            <w:tcW w:w="6000" w:type="dxa"/>
            <w:vAlign w:val="center"/>
          </w:tcPr>
          <w:p w14:paraId="0C466C3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Konflik yang melibatkan anggota keluarga timbul saat karyawan Abbott melakukan atau berupaya menjalankan bisnis atas nama Abbott dengan anggota keluarga.</w:t>
            </w:r>
          </w:p>
        </w:tc>
      </w:tr>
      <w:tr w:rsidR="007C44A2" w14:paraId="0C466C36" w14:textId="77777777">
        <w:tc>
          <w:tcPr>
            <w:tcW w:w="1129" w:type="dxa"/>
            <w:shd w:val="clear" w:color="auto" w:fill="D9E2F3" w:themeFill="accent1" w:themeFillTint="33"/>
            <w:tcMar>
              <w:top w:w="120" w:type="dxa"/>
              <w:left w:w="180" w:type="dxa"/>
              <w:bottom w:w="120" w:type="dxa"/>
              <w:right w:w="180" w:type="dxa"/>
            </w:tcMar>
            <w:hideMark/>
          </w:tcPr>
          <w:p w14:paraId="0C466C3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0C466C3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0C466C3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HADIAH, </w:t>
            </w:r>
            <w:r>
              <w:rPr>
                <w:rFonts w:ascii="Calibri" w:eastAsia="Calibri" w:hAnsi="Calibri" w:cs="Calibri"/>
                <w:lang w:val="id-ID"/>
              </w:rPr>
              <w:t>PEMBAYARAN, DAN TAWARAN LAINNYA</w:t>
            </w:r>
          </w:p>
        </w:tc>
      </w:tr>
      <w:tr w:rsidR="007C44A2" w14:paraId="0C466C3A" w14:textId="77777777">
        <w:tc>
          <w:tcPr>
            <w:tcW w:w="1129" w:type="dxa"/>
            <w:shd w:val="clear" w:color="auto" w:fill="D9E2F3" w:themeFill="accent1" w:themeFillTint="33"/>
            <w:tcMar>
              <w:top w:w="120" w:type="dxa"/>
              <w:left w:w="180" w:type="dxa"/>
              <w:bottom w:w="120" w:type="dxa"/>
              <w:right w:w="180" w:type="dxa"/>
            </w:tcMar>
            <w:hideMark/>
          </w:tcPr>
          <w:p w14:paraId="0C466C3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0C466C3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 influencing, a</w:t>
            </w:r>
            <w:r>
              <w:rPr>
                <w:rFonts w:ascii="Calibri" w:eastAsia="Times New Roman" w:hAnsi="Calibri" w:cs="Calibri"/>
                <w:lang w:val="en-US"/>
              </w:rPr>
              <w:t xml:space="preserve">n employee’s purchasing decisions. </w:t>
            </w:r>
          </w:p>
        </w:tc>
        <w:tc>
          <w:tcPr>
            <w:tcW w:w="6000" w:type="dxa"/>
            <w:vAlign w:val="center"/>
          </w:tcPr>
          <w:p w14:paraId="0C466C3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Menerima hadiah, pembayaran, dan tawaran lainnya dari pemasok, vendor, atau rekan bisnis Abbott lainnya menciptakan kemungkinan konflik kepentingan karena dapat memengaruhi atau memberikan kesan memengaruhi keputusan pem</w:t>
            </w:r>
            <w:r>
              <w:rPr>
                <w:rFonts w:ascii="Calibri" w:eastAsia="Calibri" w:hAnsi="Calibri" w:cs="Calibri"/>
                <w:lang w:val="id-ID"/>
              </w:rPr>
              <w:t xml:space="preserve">belian karyawan. </w:t>
            </w:r>
          </w:p>
        </w:tc>
      </w:tr>
      <w:tr w:rsidR="007C44A2" w14:paraId="0C466C3E" w14:textId="77777777">
        <w:tc>
          <w:tcPr>
            <w:tcW w:w="1129" w:type="dxa"/>
            <w:shd w:val="clear" w:color="auto" w:fill="D9E2F3" w:themeFill="accent1" w:themeFillTint="33"/>
            <w:tcMar>
              <w:top w:w="120" w:type="dxa"/>
              <w:left w:w="180" w:type="dxa"/>
              <w:bottom w:w="120" w:type="dxa"/>
              <w:right w:w="180" w:type="dxa"/>
            </w:tcMar>
            <w:hideMark/>
          </w:tcPr>
          <w:p w14:paraId="0C466C3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0C466C3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0C466C3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PELUANG KORPORAT</w:t>
            </w:r>
          </w:p>
        </w:tc>
      </w:tr>
      <w:tr w:rsidR="007C44A2" w14:paraId="0C466C42" w14:textId="77777777">
        <w:tc>
          <w:tcPr>
            <w:tcW w:w="1129" w:type="dxa"/>
            <w:shd w:val="clear" w:color="auto" w:fill="D9E2F3" w:themeFill="accent1" w:themeFillTint="33"/>
            <w:tcMar>
              <w:top w:w="120" w:type="dxa"/>
              <w:left w:w="180" w:type="dxa"/>
              <w:bottom w:w="120" w:type="dxa"/>
              <w:right w:w="180" w:type="dxa"/>
            </w:tcMar>
            <w:hideMark/>
          </w:tcPr>
          <w:p w14:paraId="0C466C3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0C466C4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an Abbott employee becomes aware of a business opportunity that is a logical extension of Abbott’s current business, or would be in competition with Abbott’s business, the </w:t>
            </w:r>
            <w:r>
              <w:rPr>
                <w:rFonts w:ascii="Calibri" w:eastAsia="Times New Roman" w:hAnsi="Calibri" w:cs="Calibri"/>
                <w:lang w:val="en-US"/>
              </w:rPr>
              <w:t>employee must offer the opportunity to Abbott.</w:t>
            </w:r>
          </w:p>
        </w:tc>
        <w:tc>
          <w:tcPr>
            <w:tcW w:w="6000" w:type="dxa"/>
            <w:vAlign w:val="center"/>
          </w:tcPr>
          <w:p w14:paraId="0C466C4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Apabila karyawan Abbott mengetahui adanya peluang bisnis yang merupakan perpanjangan logis bisnis Abbott saat ini, atau yang mungkin menjadi pesaing bisnis Abbott, karyawan harus menawarkan peluang tersebut ke</w:t>
            </w:r>
            <w:r>
              <w:rPr>
                <w:rFonts w:ascii="Calibri" w:eastAsia="Calibri" w:hAnsi="Calibri" w:cs="Calibri"/>
                <w:lang w:val="id-ID"/>
              </w:rPr>
              <w:t>pada Abbott.</w:t>
            </w:r>
          </w:p>
        </w:tc>
      </w:tr>
      <w:tr w:rsidR="007C44A2" w14:paraId="0C466C46" w14:textId="77777777">
        <w:tc>
          <w:tcPr>
            <w:tcW w:w="1129" w:type="dxa"/>
            <w:shd w:val="clear" w:color="auto" w:fill="D9E2F3" w:themeFill="accent1" w:themeFillTint="33"/>
            <w:tcMar>
              <w:top w:w="120" w:type="dxa"/>
              <w:left w:w="180" w:type="dxa"/>
              <w:bottom w:w="120" w:type="dxa"/>
              <w:right w:w="180" w:type="dxa"/>
            </w:tcMar>
            <w:hideMark/>
          </w:tcPr>
          <w:p w14:paraId="0C466C4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C466C4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0C466C4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HUBUNGAN KERJA DAN KONSULTAN DI LUAR PERUSAHAAN </w:t>
            </w:r>
          </w:p>
        </w:tc>
      </w:tr>
      <w:tr w:rsidR="007C44A2" w14:paraId="0C466C4A" w14:textId="77777777">
        <w:tc>
          <w:tcPr>
            <w:tcW w:w="1129" w:type="dxa"/>
            <w:shd w:val="clear" w:color="auto" w:fill="D9E2F3" w:themeFill="accent1" w:themeFillTint="33"/>
            <w:tcMar>
              <w:top w:w="120" w:type="dxa"/>
              <w:left w:w="180" w:type="dxa"/>
              <w:bottom w:w="120" w:type="dxa"/>
              <w:right w:w="180" w:type="dxa"/>
            </w:tcMar>
            <w:hideMark/>
          </w:tcPr>
          <w:p w14:paraId="0C466C4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0C466C4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All outside employment (including consulting opportunities) should be viewed as a potential conflict of interest and should be discussed and </w:t>
            </w:r>
            <w:r>
              <w:rPr>
                <w:rFonts w:ascii="Calibri" w:eastAsia="Times New Roman" w:hAnsi="Calibri" w:cs="Calibri"/>
                <w:lang w:val="en-US"/>
              </w:rPr>
              <w:t>assessed on a case-by-case basis with the employee’s manager.</w:t>
            </w:r>
          </w:p>
        </w:tc>
        <w:tc>
          <w:tcPr>
            <w:tcW w:w="6000" w:type="dxa"/>
            <w:vAlign w:val="center"/>
          </w:tcPr>
          <w:p w14:paraId="0C466C4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Semua kesempatan pekerjaan (termasuk peluang sebagai konsultan) di luar perusahaan harus dianggap sebagai kemungkinan konflik kepentingan, serta harus dibahas dan dinilai berdasarkan kasus per k</w:t>
            </w:r>
            <w:r>
              <w:rPr>
                <w:rFonts w:ascii="Calibri" w:eastAsia="Calibri" w:hAnsi="Calibri" w:cs="Calibri"/>
                <w:lang w:val="id-ID"/>
              </w:rPr>
              <w:t>asus dengan manajer Anda.</w:t>
            </w:r>
          </w:p>
        </w:tc>
      </w:tr>
      <w:tr w:rsidR="007C44A2" w14:paraId="0C466C4E" w14:textId="77777777">
        <w:tc>
          <w:tcPr>
            <w:tcW w:w="1129" w:type="dxa"/>
            <w:shd w:val="clear" w:color="auto" w:fill="D9E2F3" w:themeFill="accent1" w:themeFillTint="33"/>
            <w:tcMar>
              <w:top w:w="120" w:type="dxa"/>
              <w:left w:w="180" w:type="dxa"/>
              <w:bottom w:w="120" w:type="dxa"/>
              <w:right w:w="180" w:type="dxa"/>
            </w:tcMar>
            <w:hideMark/>
          </w:tcPr>
          <w:p w14:paraId="0C466C4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0C466C4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OFFICERS FOR THIRD PARTIES</w:t>
            </w:r>
          </w:p>
        </w:tc>
        <w:tc>
          <w:tcPr>
            <w:tcW w:w="6000" w:type="dxa"/>
            <w:vAlign w:val="center"/>
          </w:tcPr>
          <w:p w14:paraId="0C466C4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MENJABAT SEBAGAI DEWAN ATAU PEJABAT UNTUK PIHAK KETIGA</w:t>
            </w:r>
          </w:p>
        </w:tc>
      </w:tr>
      <w:tr w:rsidR="007C44A2" w14:paraId="0C466C52" w14:textId="77777777">
        <w:tc>
          <w:tcPr>
            <w:tcW w:w="1129" w:type="dxa"/>
            <w:shd w:val="clear" w:color="auto" w:fill="D9E2F3" w:themeFill="accent1" w:themeFillTint="33"/>
            <w:tcMar>
              <w:top w:w="120" w:type="dxa"/>
              <w:left w:w="180" w:type="dxa"/>
              <w:bottom w:w="120" w:type="dxa"/>
              <w:right w:w="180" w:type="dxa"/>
            </w:tcMar>
            <w:hideMark/>
          </w:tcPr>
          <w:p w14:paraId="0C466C4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0C466C5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Employees who want to serve on boards or as officers of third parties should disclose that to their managers a</w:t>
            </w:r>
            <w:r>
              <w:rPr>
                <w:rFonts w:ascii="Calibri" w:eastAsia="Times New Roman" w:hAnsi="Calibri" w:cs="Calibri"/>
                <w:lang w:val="en-US"/>
              </w:rPr>
              <w:t>nd seek the relevant approvals.</w:t>
            </w:r>
          </w:p>
        </w:tc>
        <w:tc>
          <w:tcPr>
            <w:tcW w:w="6000" w:type="dxa"/>
            <w:vAlign w:val="center"/>
          </w:tcPr>
          <w:p w14:paraId="0C466C5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Karyawan yang ingin memegang jabatan dalam dewan atau menjadi pejabat pihak ketiga harus mengungkapkan hal tersebut kepada manajer dan mendapatkan persetujuan terkait.</w:t>
            </w:r>
          </w:p>
        </w:tc>
      </w:tr>
      <w:tr w:rsidR="007C44A2" w14:paraId="0C466C56" w14:textId="77777777">
        <w:tc>
          <w:tcPr>
            <w:tcW w:w="1129" w:type="dxa"/>
            <w:shd w:val="clear" w:color="auto" w:fill="D9E2F3" w:themeFill="accent1" w:themeFillTint="33"/>
            <w:tcMar>
              <w:top w:w="120" w:type="dxa"/>
              <w:left w:w="180" w:type="dxa"/>
              <w:bottom w:w="120" w:type="dxa"/>
              <w:right w:w="180" w:type="dxa"/>
            </w:tcMar>
            <w:hideMark/>
          </w:tcPr>
          <w:p w14:paraId="0C466C5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0C466C5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0C466C5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Anda </w:t>
            </w:r>
            <w:r>
              <w:rPr>
                <w:rFonts w:ascii="Calibri" w:eastAsia="Calibri" w:hAnsi="Calibri" w:cs="Calibri"/>
                <w:lang w:val="id-ID"/>
              </w:rPr>
              <w:t>telah menyelesaikan bagian {a} dari {b}</w:t>
            </w:r>
          </w:p>
        </w:tc>
      </w:tr>
      <w:tr w:rsidR="007C44A2" w14:paraId="0C466C5A" w14:textId="77777777">
        <w:tc>
          <w:tcPr>
            <w:tcW w:w="1129" w:type="dxa"/>
            <w:shd w:val="clear" w:color="auto" w:fill="D9E2F3" w:themeFill="accent1" w:themeFillTint="33"/>
            <w:tcMar>
              <w:top w:w="120" w:type="dxa"/>
              <w:left w:w="180" w:type="dxa"/>
              <w:bottom w:w="120" w:type="dxa"/>
              <w:right w:w="180" w:type="dxa"/>
            </w:tcMar>
            <w:hideMark/>
          </w:tcPr>
          <w:p w14:paraId="0C466C5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0C466C5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0C466C5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PANAH MAJU UNTUK MELANJUTKAN PEMBELAJARAN</w:t>
            </w:r>
          </w:p>
        </w:tc>
      </w:tr>
      <w:tr w:rsidR="007C44A2" w14:paraId="0C466C5E" w14:textId="77777777">
        <w:tc>
          <w:tcPr>
            <w:tcW w:w="1129" w:type="dxa"/>
            <w:shd w:val="clear" w:color="auto" w:fill="D9E2F3" w:themeFill="accent1" w:themeFillTint="33"/>
            <w:tcMar>
              <w:top w:w="120" w:type="dxa"/>
              <w:left w:w="180" w:type="dxa"/>
              <w:bottom w:w="120" w:type="dxa"/>
              <w:right w:w="180" w:type="dxa"/>
            </w:tcMar>
          </w:tcPr>
          <w:p w14:paraId="0C466C5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0C466C5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0C466C5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panah untuk memulai tinjauan Anda.</w:t>
            </w:r>
          </w:p>
        </w:tc>
      </w:tr>
      <w:tr w:rsidR="007C44A2" w14:paraId="0C466C62" w14:textId="77777777">
        <w:tc>
          <w:tcPr>
            <w:tcW w:w="1129" w:type="dxa"/>
            <w:shd w:val="clear" w:color="auto" w:fill="D9E2F3" w:themeFill="accent1" w:themeFillTint="33"/>
            <w:tcMar>
              <w:top w:w="120" w:type="dxa"/>
              <w:left w:w="180" w:type="dxa"/>
              <w:bottom w:w="120" w:type="dxa"/>
              <w:right w:w="180" w:type="dxa"/>
            </w:tcMar>
          </w:tcPr>
          <w:p w14:paraId="0C466C5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C466C6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check your </w:t>
            </w:r>
            <w:r>
              <w:rPr>
                <w:rFonts w:ascii="Calibri" w:eastAsia="Times New Roman" w:hAnsi="Calibri" w:cs="Calibri"/>
                <w:lang w:val="en-US"/>
              </w:rPr>
              <w:t>progress, click the Menu button.</w:t>
            </w:r>
          </w:p>
        </w:tc>
        <w:tc>
          <w:tcPr>
            <w:tcW w:w="6000" w:type="dxa"/>
            <w:vAlign w:val="center"/>
          </w:tcPr>
          <w:p w14:paraId="0C466C6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Untuk melihat kemajuan Anda, klik tombol Menu.</w:t>
            </w:r>
          </w:p>
        </w:tc>
      </w:tr>
      <w:tr w:rsidR="007C44A2" w14:paraId="0C466C66" w14:textId="77777777">
        <w:tc>
          <w:tcPr>
            <w:tcW w:w="1129" w:type="dxa"/>
            <w:shd w:val="clear" w:color="auto" w:fill="D9E2F3" w:themeFill="accent1" w:themeFillTint="33"/>
            <w:tcMar>
              <w:top w:w="120" w:type="dxa"/>
              <w:left w:w="180" w:type="dxa"/>
              <w:bottom w:w="120" w:type="dxa"/>
              <w:right w:w="180" w:type="dxa"/>
            </w:tcMar>
            <w:hideMark/>
          </w:tcPr>
          <w:p w14:paraId="0C466C6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0C466C6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0C466C6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Saat mengungkapkan konflik kepentingan, ikuti langkah</w:t>
            </w:r>
            <w:r>
              <w:rPr>
                <w:rFonts w:ascii="Calibri" w:eastAsia="Calibri" w:hAnsi="Calibri" w:cs="Calibri"/>
                <w:lang w:val="id-ID"/>
              </w:rPr>
              <w:noBreakHyphen/>
              <w:t>langkah mudah ini.</w:t>
            </w:r>
          </w:p>
        </w:tc>
      </w:tr>
      <w:tr w:rsidR="007C44A2" w14:paraId="0C466C6A" w14:textId="77777777">
        <w:tc>
          <w:tcPr>
            <w:tcW w:w="1129" w:type="dxa"/>
            <w:shd w:val="clear" w:color="auto" w:fill="D9E2F3" w:themeFill="accent1" w:themeFillTint="33"/>
            <w:tcMar>
              <w:top w:w="120" w:type="dxa"/>
              <w:left w:w="180" w:type="dxa"/>
              <w:bottom w:w="120" w:type="dxa"/>
              <w:right w:w="180" w:type="dxa"/>
            </w:tcMar>
            <w:hideMark/>
          </w:tcPr>
          <w:p w14:paraId="0C466C6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0C466C6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0C466C6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LANGKAH 1 </w:t>
            </w:r>
          </w:p>
        </w:tc>
      </w:tr>
      <w:tr w:rsidR="007C44A2" w14:paraId="0C466C6E" w14:textId="77777777">
        <w:tc>
          <w:tcPr>
            <w:tcW w:w="1129" w:type="dxa"/>
            <w:shd w:val="clear" w:color="auto" w:fill="D9E2F3" w:themeFill="accent1" w:themeFillTint="33"/>
            <w:tcMar>
              <w:top w:w="120" w:type="dxa"/>
              <w:left w:w="180" w:type="dxa"/>
              <w:bottom w:w="120" w:type="dxa"/>
              <w:right w:w="180" w:type="dxa"/>
            </w:tcMar>
            <w:hideMark/>
          </w:tcPr>
          <w:p w14:paraId="0C466C6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0C466C6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0C466C6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Bicarakan dengan manajer Anda.</w:t>
            </w:r>
          </w:p>
        </w:tc>
      </w:tr>
      <w:tr w:rsidR="007C44A2" w14:paraId="0C466C72" w14:textId="77777777">
        <w:tc>
          <w:tcPr>
            <w:tcW w:w="1129" w:type="dxa"/>
            <w:shd w:val="clear" w:color="auto" w:fill="D9E2F3" w:themeFill="accent1" w:themeFillTint="33"/>
            <w:tcMar>
              <w:top w:w="120" w:type="dxa"/>
              <w:left w:w="180" w:type="dxa"/>
              <w:bottom w:w="120" w:type="dxa"/>
              <w:right w:w="180" w:type="dxa"/>
            </w:tcMar>
            <w:hideMark/>
          </w:tcPr>
          <w:p w14:paraId="0C466C6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0C466C7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0C466C7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Diskusikan keadaannya dengan manajer Anda untuk menentukan </w:t>
            </w:r>
            <w:r>
              <w:rPr>
                <w:rFonts w:ascii="Calibri" w:eastAsia="Calibri" w:hAnsi="Calibri" w:cs="Calibri"/>
                <w:lang w:val="id-ID"/>
              </w:rPr>
              <w:t>apakah Anda memiliki konflik kepentingan aktual atau kemungkinan konflik kepentingan.</w:t>
            </w:r>
          </w:p>
        </w:tc>
      </w:tr>
      <w:tr w:rsidR="007C44A2" w14:paraId="0C466C76" w14:textId="77777777">
        <w:tc>
          <w:tcPr>
            <w:tcW w:w="1129" w:type="dxa"/>
            <w:shd w:val="clear" w:color="auto" w:fill="D9E2F3" w:themeFill="accent1" w:themeFillTint="33"/>
            <w:tcMar>
              <w:top w:w="120" w:type="dxa"/>
              <w:left w:w="180" w:type="dxa"/>
              <w:bottom w:w="120" w:type="dxa"/>
              <w:right w:w="180" w:type="dxa"/>
            </w:tcMar>
            <w:hideMark/>
          </w:tcPr>
          <w:p w14:paraId="0C466C7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0C466C7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desired activity.</w:t>
            </w:r>
          </w:p>
        </w:tc>
        <w:tc>
          <w:tcPr>
            <w:tcW w:w="6000" w:type="dxa"/>
            <w:vAlign w:val="center"/>
          </w:tcPr>
          <w:p w14:paraId="0C466C7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Jika konflik tidak ditemukan, maka Anda dapat melanjutkan kegiatan yang Anda inginkan.</w:t>
            </w:r>
          </w:p>
        </w:tc>
      </w:tr>
      <w:tr w:rsidR="007C44A2" w14:paraId="0C466C7A" w14:textId="77777777">
        <w:tc>
          <w:tcPr>
            <w:tcW w:w="1129" w:type="dxa"/>
            <w:shd w:val="clear" w:color="auto" w:fill="D9E2F3" w:themeFill="accent1" w:themeFillTint="33"/>
            <w:tcMar>
              <w:top w:w="120" w:type="dxa"/>
              <w:left w:w="180" w:type="dxa"/>
              <w:bottom w:w="120" w:type="dxa"/>
              <w:right w:w="180" w:type="dxa"/>
            </w:tcMar>
            <w:hideMark/>
          </w:tcPr>
          <w:p w14:paraId="0C466C7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C466C7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0C466C7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Jika konflik ditemukan, Anda dapat melanjutkan ke Langkah 2.</w:t>
            </w:r>
          </w:p>
        </w:tc>
      </w:tr>
      <w:tr w:rsidR="007C44A2" w14:paraId="0C466C7E" w14:textId="77777777">
        <w:tc>
          <w:tcPr>
            <w:tcW w:w="1129" w:type="dxa"/>
            <w:shd w:val="clear" w:color="auto" w:fill="D9E2F3" w:themeFill="accent1" w:themeFillTint="33"/>
            <w:tcMar>
              <w:top w:w="120" w:type="dxa"/>
              <w:left w:w="180" w:type="dxa"/>
              <w:bottom w:w="120" w:type="dxa"/>
              <w:right w:w="180" w:type="dxa"/>
            </w:tcMar>
            <w:hideMark/>
          </w:tcPr>
          <w:p w14:paraId="0C466C7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0C466C7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0C466C7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LANGKAH 2</w:t>
            </w:r>
          </w:p>
        </w:tc>
      </w:tr>
      <w:tr w:rsidR="007C44A2" w14:paraId="0C466C82" w14:textId="77777777">
        <w:tc>
          <w:tcPr>
            <w:tcW w:w="1129" w:type="dxa"/>
            <w:shd w:val="clear" w:color="auto" w:fill="D9E2F3" w:themeFill="accent1" w:themeFillTint="33"/>
            <w:tcMar>
              <w:top w:w="120" w:type="dxa"/>
              <w:left w:w="180" w:type="dxa"/>
              <w:bottom w:w="120" w:type="dxa"/>
              <w:right w:w="180" w:type="dxa"/>
            </w:tcMar>
            <w:hideMark/>
          </w:tcPr>
          <w:p w14:paraId="0C466C7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C466C8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0C466C8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Pertimbangkan tindakan yang mungkin untuk me</w:t>
            </w:r>
            <w:r>
              <w:rPr>
                <w:rFonts w:ascii="Calibri" w:eastAsia="Calibri" w:hAnsi="Calibri" w:cs="Calibri"/>
                <w:lang w:val="id-ID"/>
              </w:rPr>
              <w:t xml:space="preserve">minimalkan atau meniadakan konflik. </w:t>
            </w:r>
          </w:p>
        </w:tc>
      </w:tr>
      <w:tr w:rsidR="007C44A2" w14:paraId="0C466C86" w14:textId="77777777">
        <w:tc>
          <w:tcPr>
            <w:tcW w:w="1129" w:type="dxa"/>
            <w:shd w:val="clear" w:color="auto" w:fill="D9E2F3" w:themeFill="accent1" w:themeFillTint="33"/>
            <w:tcMar>
              <w:top w:w="120" w:type="dxa"/>
              <w:left w:w="180" w:type="dxa"/>
              <w:bottom w:w="120" w:type="dxa"/>
              <w:right w:w="180" w:type="dxa"/>
            </w:tcMar>
            <w:hideMark/>
          </w:tcPr>
          <w:p w14:paraId="0C466C8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0C466C8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0C466C8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Jika konflik ditemukan, Anda dan manajer Anda harus </w:t>
            </w:r>
            <w:r>
              <w:rPr>
                <w:rFonts w:ascii="Calibri" w:eastAsia="Calibri" w:hAnsi="Calibri" w:cs="Calibri"/>
                <w:lang w:val="id-ID"/>
              </w:rPr>
              <w:t>mengalokasikan waktu untuk mempertimbangkan kemungkinan tindakan yang dapat diambil untuk meminimalkan atau meniadakan konflik.</w:t>
            </w:r>
          </w:p>
        </w:tc>
      </w:tr>
      <w:tr w:rsidR="007C44A2" w14:paraId="0C466C8A" w14:textId="77777777">
        <w:tc>
          <w:tcPr>
            <w:tcW w:w="1129" w:type="dxa"/>
            <w:shd w:val="clear" w:color="auto" w:fill="D9E2F3" w:themeFill="accent1" w:themeFillTint="33"/>
            <w:tcMar>
              <w:top w:w="120" w:type="dxa"/>
              <w:left w:w="180" w:type="dxa"/>
              <w:bottom w:w="120" w:type="dxa"/>
              <w:right w:w="180" w:type="dxa"/>
            </w:tcMar>
            <w:hideMark/>
          </w:tcPr>
          <w:p w14:paraId="0C466C8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0C466C8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w:t>
            </w:r>
            <w:r>
              <w:rPr>
                <w:rFonts w:ascii="Calibri" w:eastAsia="Times New Roman" w:hAnsi="Calibri" w:cs="Calibri"/>
                <w:lang w:val="en-US"/>
              </w:rPr>
              <w:t>ity.</w:t>
            </w:r>
          </w:p>
        </w:tc>
        <w:tc>
          <w:tcPr>
            <w:tcW w:w="6000" w:type="dxa"/>
            <w:vAlign w:val="center"/>
          </w:tcPr>
          <w:p w14:paraId="0C466C8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Apabila konflik tidak dapat diminimalkan atau dieliminasi, manajer akan memerintahkan Anda untuk TIDAK MELANJUTKAN kegiatan yang diajukan.</w:t>
            </w:r>
          </w:p>
        </w:tc>
      </w:tr>
      <w:tr w:rsidR="007C44A2" w14:paraId="0C466C8E" w14:textId="77777777">
        <w:tc>
          <w:tcPr>
            <w:tcW w:w="1129" w:type="dxa"/>
            <w:shd w:val="clear" w:color="auto" w:fill="D9E2F3" w:themeFill="accent1" w:themeFillTint="33"/>
            <w:tcMar>
              <w:top w:w="120" w:type="dxa"/>
              <w:left w:w="180" w:type="dxa"/>
              <w:bottom w:w="120" w:type="dxa"/>
              <w:right w:w="180" w:type="dxa"/>
            </w:tcMar>
            <w:hideMark/>
          </w:tcPr>
          <w:p w14:paraId="0C466C8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0C466C8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minimized or eliminated, you should proceed to Step 3.</w:t>
            </w:r>
          </w:p>
        </w:tc>
        <w:tc>
          <w:tcPr>
            <w:tcW w:w="6000" w:type="dxa"/>
            <w:vAlign w:val="center"/>
          </w:tcPr>
          <w:p w14:paraId="0C466C8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Apabila konflik dapat dimini</w:t>
            </w:r>
            <w:r>
              <w:rPr>
                <w:rFonts w:ascii="Calibri" w:eastAsia="Calibri" w:hAnsi="Calibri" w:cs="Calibri"/>
                <w:lang w:val="id-ID"/>
              </w:rPr>
              <w:t>malkan atau dieliminasi, Anda dapat melanjutkan ke Langkah 3.</w:t>
            </w:r>
          </w:p>
        </w:tc>
      </w:tr>
      <w:tr w:rsidR="007C44A2" w14:paraId="0C466C92" w14:textId="77777777">
        <w:tc>
          <w:tcPr>
            <w:tcW w:w="1129" w:type="dxa"/>
            <w:shd w:val="clear" w:color="auto" w:fill="D9E2F3" w:themeFill="accent1" w:themeFillTint="33"/>
            <w:tcMar>
              <w:top w:w="120" w:type="dxa"/>
              <w:left w:w="180" w:type="dxa"/>
              <w:bottom w:w="120" w:type="dxa"/>
              <w:right w:w="180" w:type="dxa"/>
            </w:tcMar>
            <w:hideMark/>
          </w:tcPr>
          <w:p w14:paraId="0C466C8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0C466C9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0C466C9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LANGKAH 3</w:t>
            </w:r>
          </w:p>
        </w:tc>
      </w:tr>
      <w:tr w:rsidR="007C44A2" w14:paraId="0C466C96" w14:textId="77777777">
        <w:tc>
          <w:tcPr>
            <w:tcW w:w="1129" w:type="dxa"/>
            <w:shd w:val="clear" w:color="auto" w:fill="D9E2F3" w:themeFill="accent1" w:themeFillTint="33"/>
            <w:tcMar>
              <w:top w:w="120" w:type="dxa"/>
              <w:left w:w="180" w:type="dxa"/>
              <w:bottom w:w="120" w:type="dxa"/>
              <w:right w:w="180" w:type="dxa"/>
            </w:tcMar>
            <w:hideMark/>
          </w:tcPr>
          <w:p w14:paraId="0C466C9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0C466C9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Document your proposed actions to minimize or eliminate the conflict.</w:t>
            </w:r>
          </w:p>
        </w:tc>
        <w:tc>
          <w:tcPr>
            <w:tcW w:w="6000" w:type="dxa"/>
            <w:vAlign w:val="center"/>
          </w:tcPr>
          <w:p w14:paraId="0C466C9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Dokumentasikan tindakan yang Anda ajukan untuk meminimalkan atau meniadakan </w:t>
            </w:r>
            <w:r>
              <w:rPr>
                <w:rFonts w:ascii="Calibri" w:eastAsia="Calibri" w:hAnsi="Calibri" w:cs="Calibri"/>
                <w:lang w:val="id-ID"/>
              </w:rPr>
              <w:t>konflik.</w:t>
            </w:r>
          </w:p>
        </w:tc>
      </w:tr>
      <w:tr w:rsidR="007C44A2" w14:paraId="0C466C9A" w14:textId="77777777">
        <w:tc>
          <w:tcPr>
            <w:tcW w:w="1129" w:type="dxa"/>
            <w:shd w:val="clear" w:color="auto" w:fill="D9E2F3" w:themeFill="accent1" w:themeFillTint="33"/>
            <w:tcMar>
              <w:top w:w="120" w:type="dxa"/>
              <w:left w:w="180" w:type="dxa"/>
              <w:bottom w:w="120" w:type="dxa"/>
              <w:right w:w="180" w:type="dxa"/>
            </w:tcMar>
            <w:hideMark/>
          </w:tcPr>
          <w:p w14:paraId="0C466C9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0C466C9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Once completed, the form must be approved and submitted via the Speak </w:t>
            </w:r>
            <w:r>
              <w:rPr>
                <w:rFonts w:ascii="Calibri" w:eastAsia="Times New Roman" w:hAnsi="Calibri" w:cs="Calibri"/>
                <w:lang w:val="en-US"/>
              </w:rPr>
              <w:t>Up Helpline (speakup.abbott.com).</w:t>
            </w:r>
          </w:p>
        </w:tc>
        <w:tc>
          <w:tcPr>
            <w:tcW w:w="6000" w:type="dxa"/>
            <w:vAlign w:val="center"/>
          </w:tcPr>
          <w:p w14:paraId="0C466C99"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Jika langkah</w:t>
            </w:r>
            <w:r>
              <w:rPr>
                <w:rFonts w:ascii="Calibri" w:eastAsia="Calibri" w:hAnsi="Calibri" w:cs="Calibri"/>
                <w:lang w:val="id-ID"/>
              </w:rPr>
              <w:noBreakHyphen/>
              <w:t xml:space="preserve">langkah dapat diambil untuk meminimalkan atau meniadakan konflik kepentingan, maka Anda harus mendokumentasikan tindakan ini dalam </w:t>
            </w:r>
            <w:r>
              <w:rPr>
                <w:rFonts w:ascii="Calibri" w:eastAsia="Calibri" w:hAnsi="Calibri" w:cs="Calibri"/>
                <w:i/>
                <w:iCs/>
                <w:lang w:val="id-ID"/>
              </w:rPr>
              <w:t xml:space="preserve">Formulir Persetujuan Kemungkinan Konflik Kepentingan atau Konflik Kepentingan </w:t>
            </w:r>
            <w:r>
              <w:rPr>
                <w:rFonts w:ascii="Calibri" w:eastAsia="Calibri" w:hAnsi="Calibri" w:cs="Calibri"/>
                <w:i/>
                <w:iCs/>
                <w:lang w:val="id-ID"/>
              </w:rPr>
              <w:t>Aktual</w:t>
            </w:r>
            <w:r>
              <w:rPr>
                <w:rFonts w:ascii="Calibri" w:eastAsia="Calibri" w:hAnsi="Calibri" w:cs="Calibri"/>
                <w:lang w:val="id-ID"/>
              </w:rPr>
              <w:t>. Setelah diisi, formulir harus disetujui dan dikirimkan melalui Saluran Bantuan “Speak Up” (speakup.abbott.com).</w:t>
            </w:r>
          </w:p>
        </w:tc>
      </w:tr>
      <w:tr w:rsidR="007C44A2" w14:paraId="0C466C9E" w14:textId="77777777">
        <w:tc>
          <w:tcPr>
            <w:tcW w:w="1129" w:type="dxa"/>
            <w:shd w:val="clear" w:color="auto" w:fill="D9E2F3" w:themeFill="accent1" w:themeFillTint="33"/>
            <w:tcMar>
              <w:top w:w="120" w:type="dxa"/>
              <w:left w:w="180" w:type="dxa"/>
              <w:bottom w:w="120" w:type="dxa"/>
              <w:right w:w="180" w:type="dxa"/>
            </w:tcMar>
            <w:hideMark/>
          </w:tcPr>
          <w:p w14:paraId="0C466C9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0C466C9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0C466C9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Untuk mengirimkan pengungkapan konflik kepentingan:</w:t>
            </w:r>
          </w:p>
        </w:tc>
      </w:tr>
      <w:tr w:rsidR="007C44A2" w14:paraId="0C466CA2" w14:textId="77777777">
        <w:tc>
          <w:tcPr>
            <w:tcW w:w="1129" w:type="dxa"/>
            <w:shd w:val="clear" w:color="auto" w:fill="D9E2F3" w:themeFill="accent1" w:themeFillTint="33"/>
            <w:tcMar>
              <w:top w:w="120" w:type="dxa"/>
              <w:left w:w="180" w:type="dxa"/>
              <w:bottom w:w="120" w:type="dxa"/>
              <w:right w:w="180" w:type="dxa"/>
            </w:tcMar>
            <w:hideMark/>
          </w:tcPr>
          <w:p w14:paraId="0C466C9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0C466CA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w:t>
            </w:r>
            <w:r>
              <w:rPr>
                <w:rFonts w:ascii="Calibri" w:eastAsia="Times New Roman" w:hAnsi="Calibri" w:cs="Calibri"/>
                <w:lang w:val="en-US"/>
              </w:rPr>
              <w:t>tt.com site.</w:t>
            </w:r>
          </w:p>
        </w:tc>
        <w:tc>
          <w:tcPr>
            <w:tcW w:w="6000" w:type="dxa"/>
            <w:vAlign w:val="center"/>
          </w:tcPr>
          <w:p w14:paraId="0C466CA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Akses situs speakup.abbott.com.</w:t>
            </w:r>
          </w:p>
        </w:tc>
      </w:tr>
      <w:tr w:rsidR="007C44A2" w14:paraId="0C466CA6" w14:textId="77777777">
        <w:tc>
          <w:tcPr>
            <w:tcW w:w="1129" w:type="dxa"/>
            <w:shd w:val="clear" w:color="auto" w:fill="D9E2F3" w:themeFill="accent1" w:themeFillTint="33"/>
            <w:tcMar>
              <w:top w:w="120" w:type="dxa"/>
              <w:left w:w="180" w:type="dxa"/>
              <w:bottom w:w="120" w:type="dxa"/>
              <w:right w:w="180" w:type="dxa"/>
            </w:tcMar>
            <w:hideMark/>
          </w:tcPr>
          <w:p w14:paraId="0C466CA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C466CA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Conflict of Interest button.</w:t>
            </w:r>
          </w:p>
        </w:tc>
        <w:tc>
          <w:tcPr>
            <w:tcW w:w="6000" w:type="dxa"/>
            <w:vAlign w:val="center"/>
          </w:tcPr>
          <w:p w14:paraId="0C466CA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tombol Konflik Kepentingan.</w:t>
            </w:r>
          </w:p>
        </w:tc>
      </w:tr>
      <w:tr w:rsidR="007C44A2" w14:paraId="0C466CAA" w14:textId="77777777">
        <w:tc>
          <w:tcPr>
            <w:tcW w:w="1129" w:type="dxa"/>
            <w:shd w:val="clear" w:color="auto" w:fill="D9E2F3" w:themeFill="accent1" w:themeFillTint="33"/>
            <w:tcMar>
              <w:top w:w="120" w:type="dxa"/>
              <w:left w:w="180" w:type="dxa"/>
              <w:bottom w:w="120" w:type="dxa"/>
              <w:right w:w="180" w:type="dxa"/>
            </w:tcMar>
            <w:hideMark/>
          </w:tcPr>
          <w:p w14:paraId="0C466CA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0C466CA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0C466CA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Isi dan kirimkan pengungkapan Konflik Kepentingan.</w:t>
            </w:r>
          </w:p>
        </w:tc>
      </w:tr>
      <w:tr w:rsidR="007C44A2" w14:paraId="0C466CAE" w14:textId="77777777">
        <w:tc>
          <w:tcPr>
            <w:tcW w:w="1129" w:type="dxa"/>
            <w:shd w:val="clear" w:color="auto" w:fill="D9E2F3" w:themeFill="accent1" w:themeFillTint="33"/>
            <w:tcMar>
              <w:top w:w="120" w:type="dxa"/>
              <w:left w:w="180" w:type="dxa"/>
              <w:bottom w:w="120" w:type="dxa"/>
              <w:right w:w="180" w:type="dxa"/>
            </w:tcMar>
            <w:hideMark/>
          </w:tcPr>
          <w:p w14:paraId="0C466CA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0C466CA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w:t>
            </w:r>
          </w:p>
        </w:tc>
        <w:tc>
          <w:tcPr>
            <w:tcW w:w="6000" w:type="dxa"/>
            <w:vAlign w:val="center"/>
          </w:tcPr>
          <w:p w14:paraId="0C466CA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Klik tombol Lampirkan Persetujuan Manajer dan lampirkan </w:t>
            </w:r>
            <w:r>
              <w:rPr>
                <w:rFonts w:ascii="Calibri" w:eastAsia="Calibri" w:hAnsi="Calibri" w:cs="Calibri"/>
                <w:i/>
                <w:iCs/>
                <w:lang w:val="id-ID"/>
              </w:rPr>
              <w:t xml:space="preserve">Formulir Persetujuan Kemungkinan Konflik Kepentingan atau Konflik </w:t>
            </w:r>
            <w:r>
              <w:rPr>
                <w:rFonts w:ascii="Calibri" w:eastAsia="Calibri" w:hAnsi="Calibri" w:cs="Calibri"/>
                <w:i/>
                <w:iCs/>
                <w:lang w:val="id-ID"/>
              </w:rPr>
              <w:t>Kepentingan Aktual</w:t>
            </w:r>
            <w:r>
              <w:rPr>
                <w:rFonts w:ascii="Calibri" w:eastAsia="Calibri" w:hAnsi="Calibri" w:cs="Calibri"/>
                <w:lang w:val="id-ID"/>
              </w:rPr>
              <w:t xml:space="preserve"> yang telah dipindai. </w:t>
            </w:r>
          </w:p>
        </w:tc>
      </w:tr>
      <w:tr w:rsidR="007C44A2" w14:paraId="0C466CB2" w14:textId="77777777">
        <w:tc>
          <w:tcPr>
            <w:tcW w:w="1129" w:type="dxa"/>
            <w:shd w:val="clear" w:color="auto" w:fill="D9E2F3" w:themeFill="accent1" w:themeFillTint="33"/>
            <w:tcMar>
              <w:top w:w="120" w:type="dxa"/>
              <w:left w:w="180" w:type="dxa"/>
              <w:bottom w:w="120" w:type="dxa"/>
              <w:right w:w="180" w:type="dxa"/>
            </w:tcMar>
            <w:hideMark/>
          </w:tcPr>
          <w:p w14:paraId="0C466CA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0C466CB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0C466CB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Setelah disetujui, Anda dapat melanjutkan kegiatan yang diinginkan. </w:t>
            </w:r>
          </w:p>
        </w:tc>
      </w:tr>
      <w:tr w:rsidR="007C44A2" w14:paraId="0C466CB6" w14:textId="77777777">
        <w:tc>
          <w:tcPr>
            <w:tcW w:w="1129" w:type="dxa"/>
            <w:shd w:val="clear" w:color="auto" w:fill="D9E2F3" w:themeFill="accent1" w:themeFillTint="33"/>
            <w:tcMar>
              <w:top w:w="120" w:type="dxa"/>
              <w:left w:w="180" w:type="dxa"/>
              <w:bottom w:w="120" w:type="dxa"/>
              <w:right w:w="180" w:type="dxa"/>
            </w:tcMar>
            <w:hideMark/>
          </w:tcPr>
          <w:p w14:paraId="0C466CB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0C466CB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report another employee’s actual or potential conflict of </w:t>
            </w:r>
            <w:r>
              <w:rPr>
                <w:rFonts w:ascii="Calibri" w:eastAsia="Times New Roman" w:hAnsi="Calibri" w:cs="Calibri"/>
                <w:lang w:val="en-US"/>
              </w:rPr>
              <w:t>interest via the Speak Up Helpline, simply click the Raise a Concern button on the Speak Up Helpline and follow the onscreen instructions.</w:t>
            </w:r>
          </w:p>
        </w:tc>
        <w:tc>
          <w:tcPr>
            <w:tcW w:w="6000" w:type="dxa"/>
            <w:vAlign w:val="center"/>
          </w:tcPr>
          <w:p w14:paraId="0C466CB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Untuk melaporkan kemungkinan konflik kepentingan atau konflik kepentingan aktual karyawan lain melalui Saluran Bantua</w:t>
            </w:r>
            <w:r>
              <w:rPr>
                <w:rFonts w:ascii="Calibri" w:eastAsia="Calibri" w:hAnsi="Calibri" w:cs="Calibri"/>
                <w:lang w:val="id-ID"/>
              </w:rPr>
              <w:t>n “Speak Up”, Anda cukup mengeklik tombol Kemukakan Kekhawatiran di Saluran Bantuan “Speak Up” lalu ikuti petunjuk di layar.</w:t>
            </w:r>
          </w:p>
        </w:tc>
      </w:tr>
      <w:tr w:rsidR="007C44A2" w14:paraId="0C466CBA" w14:textId="77777777">
        <w:tc>
          <w:tcPr>
            <w:tcW w:w="1129" w:type="dxa"/>
            <w:shd w:val="clear" w:color="auto" w:fill="D9E2F3" w:themeFill="accent1" w:themeFillTint="33"/>
            <w:tcMar>
              <w:top w:w="120" w:type="dxa"/>
              <w:left w:w="180" w:type="dxa"/>
              <w:bottom w:w="120" w:type="dxa"/>
              <w:right w:w="180" w:type="dxa"/>
            </w:tcMar>
            <w:hideMark/>
          </w:tcPr>
          <w:p w14:paraId="0C466CB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0C466CB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reporte</w:t>
            </w:r>
            <w:r>
              <w:rPr>
                <w:rFonts w:ascii="Calibri" w:eastAsia="Times New Roman" w:hAnsi="Calibri" w:cs="Calibri"/>
                <w:lang w:val="en-US"/>
              </w:rPr>
              <w:t>d to the OEC.</w:t>
            </w:r>
          </w:p>
        </w:tc>
        <w:tc>
          <w:tcPr>
            <w:tcW w:w="6000" w:type="dxa"/>
            <w:vAlign w:val="center"/>
          </w:tcPr>
          <w:p w14:paraId="0C466CB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i/>
                <w:iCs/>
                <w:lang w:val="id-ID"/>
              </w:rPr>
              <w:t>Sertifikasi Konflik Kepentingan</w:t>
            </w:r>
            <w:r>
              <w:rPr>
                <w:rFonts w:ascii="Calibri" w:eastAsia="Calibri" w:hAnsi="Calibri" w:cs="Calibri"/>
                <w:lang w:val="id-ID"/>
              </w:rPr>
              <w:t xml:space="preserve"> dirancang untuk mengenali konflik kepentingan yang belum disetujui sebelumnya oleh manajemen dan dilaporkan kepada OEC.</w:t>
            </w:r>
          </w:p>
        </w:tc>
      </w:tr>
      <w:tr w:rsidR="007C44A2" w14:paraId="0C466CBE" w14:textId="77777777">
        <w:tc>
          <w:tcPr>
            <w:tcW w:w="1129" w:type="dxa"/>
            <w:shd w:val="clear" w:color="auto" w:fill="D9E2F3" w:themeFill="accent1" w:themeFillTint="33"/>
            <w:tcMar>
              <w:top w:w="120" w:type="dxa"/>
              <w:left w:w="180" w:type="dxa"/>
              <w:bottom w:w="120" w:type="dxa"/>
              <w:right w:w="180" w:type="dxa"/>
            </w:tcMar>
            <w:hideMark/>
          </w:tcPr>
          <w:p w14:paraId="0C466CB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0C466CB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0C466CB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CC2" w14:textId="77777777">
        <w:tc>
          <w:tcPr>
            <w:tcW w:w="1129" w:type="dxa"/>
            <w:shd w:val="clear" w:color="auto" w:fill="D9E2F3" w:themeFill="accent1" w:themeFillTint="33"/>
            <w:tcMar>
              <w:top w:w="120" w:type="dxa"/>
              <w:left w:w="180" w:type="dxa"/>
              <w:bottom w:w="120" w:type="dxa"/>
              <w:right w:w="180" w:type="dxa"/>
            </w:tcMar>
          </w:tcPr>
          <w:p w14:paraId="0C466CB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0C466CC0" w14:textId="77777777" w:rsidR="007C44A2" w:rsidRDefault="00402097">
            <w:pPr>
              <w:spacing w:before="30" w:after="30"/>
              <w:ind w:left="30" w:right="30"/>
              <w:rPr>
                <w:rFonts w:ascii="Calibri" w:eastAsia="Times New Roman" w:hAnsi="Calibri" w:cs="Calibri"/>
                <w:lang w:val="en-US"/>
              </w:rPr>
            </w:pPr>
            <w:r>
              <w:rPr>
                <w:rFonts w:ascii="Calibri" w:eastAsia="Arial Unicode MS" w:hAnsi="Calibri" w:cs="Calibri"/>
                <w:lang w:val="en-IE"/>
              </w:rPr>
              <w:t xml:space="preserve">Take a moment to review some of the key concepts in </w:t>
            </w:r>
            <w:r>
              <w:rPr>
                <w:rFonts w:ascii="Calibri" w:eastAsia="Arial Unicode MS" w:hAnsi="Calibri" w:cs="Calibri"/>
                <w:lang w:val="en-IE"/>
              </w:rPr>
              <w:t>this section.</w:t>
            </w:r>
          </w:p>
        </w:tc>
        <w:tc>
          <w:tcPr>
            <w:tcW w:w="6000" w:type="dxa"/>
            <w:vAlign w:val="center"/>
          </w:tcPr>
          <w:p w14:paraId="0C466CC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Luangkan waktu sejenak untuk meninjau beberapa konsep utama dalam bagian ini.</w:t>
            </w:r>
          </w:p>
        </w:tc>
      </w:tr>
      <w:tr w:rsidR="007C44A2" w14:paraId="0C466CC6" w14:textId="77777777">
        <w:tc>
          <w:tcPr>
            <w:tcW w:w="1129" w:type="dxa"/>
            <w:shd w:val="clear" w:color="auto" w:fill="D9E2F3" w:themeFill="accent1" w:themeFillTint="33"/>
            <w:tcMar>
              <w:top w:w="120" w:type="dxa"/>
              <w:left w:w="180" w:type="dxa"/>
              <w:bottom w:w="120" w:type="dxa"/>
              <w:right w:w="180" w:type="dxa"/>
            </w:tcMar>
            <w:hideMark/>
          </w:tcPr>
          <w:p w14:paraId="0C466CC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0C466CC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0C466CC5" w14:textId="77777777" w:rsidR="007C44A2" w:rsidRDefault="00402097">
            <w:pPr>
              <w:spacing w:before="30" w:after="30"/>
              <w:ind w:left="30" w:right="30"/>
              <w:rPr>
                <w:rFonts w:ascii="Calibri" w:eastAsia="Times New Roman" w:hAnsi="Calibri" w:cs="Calibri"/>
                <w:lang w:val="de-DE"/>
              </w:rPr>
            </w:pPr>
            <w:r>
              <w:rPr>
                <w:rFonts w:ascii="Calibri" w:eastAsia="Calibri" w:hAnsi="Calibri" w:cs="Calibri"/>
                <w:lang w:val="id-ID"/>
              </w:rPr>
              <w:t>PENGUNGKAPAN KONFLIK SECARA MANDIRI: LANGKAH 1</w:t>
            </w:r>
          </w:p>
        </w:tc>
      </w:tr>
      <w:tr w:rsidR="007C44A2" w14:paraId="0C466CCA" w14:textId="77777777">
        <w:tc>
          <w:tcPr>
            <w:tcW w:w="1129" w:type="dxa"/>
            <w:shd w:val="clear" w:color="auto" w:fill="D9E2F3" w:themeFill="accent1" w:themeFillTint="33"/>
            <w:tcMar>
              <w:top w:w="120" w:type="dxa"/>
              <w:left w:w="180" w:type="dxa"/>
              <w:bottom w:w="120" w:type="dxa"/>
              <w:right w:w="180" w:type="dxa"/>
            </w:tcMar>
            <w:hideMark/>
          </w:tcPr>
          <w:p w14:paraId="0C466CC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0C466CC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Talk to your manager to determine whether you have an actual or </w:t>
            </w:r>
            <w:r>
              <w:rPr>
                <w:rFonts w:ascii="Calibri" w:eastAsia="Times New Roman" w:hAnsi="Calibri" w:cs="Calibri"/>
                <w:lang w:val="en-US"/>
              </w:rPr>
              <w:t>potential conflict of interest. If no conflict exists, you may proceed with the desired activity.</w:t>
            </w:r>
          </w:p>
        </w:tc>
        <w:tc>
          <w:tcPr>
            <w:tcW w:w="6000" w:type="dxa"/>
            <w:vAlign w:val="center"/>
          </w:tcPr>
          <w:p w14:paraId="0C466CC9"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Konsultasikan dengan manajer Anda untuk menentukan apakah Anda memiliki konflik kepentingan aktual atau kemungkinan konflik kepentingan. Jika konflik tidak di</w:t>
            </w:r>
            <w:r>
              <w:rPr>
                <w:rFonts w:ascii="Calibri" w:eastAsia="Calibri" w:hAnsi="Calibri" w:cs="Calibri"/>
                <w:lang w:val="id-ID"/>
              </w:rPr>
              <w:t>temukan, maka Anda dapat melanjutkan kegiatan yang Anda inginkan.</w:t>
            </w:r>
          </w:p>
        </w:tc>
      </w:tr>
      <w:tr w:rsidR="007C44A2" w14:paraId="0C466CCE" w14:textId="77777777">
        <w:tc>
          <w:tcPr>
            <w:tcW w:w="1129" w:type="dxa"/>
            <w:shd w:val="clear" w:color="auto" w:fill="D9E2F3" w:themeFill="accent1" w:themeFillTint="33"/>
            <w:tcMar>
              <w:top w:w="120" w:type="dxa"/>
              <w:left w:w="180" w:type="dxa"/>
              <w:bottom w:w="120" w:type="dxa"/>
              <w:right w:w="180" w:type="dxa"/>
            </w:tcMar>
            <w:hideMark/>
          </w:tcPr>
          <w:p w14:paraId="0C466CC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0C466CC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0C466CCD" w14:textId="77777777" w:rsidR="007C44A2" w:rsidRDefault="00402097">
            <w:pPr>
              <w:spacing w:before="30" w:after="30"/>
              <w:ind w:left="30" w:right="30"/>
              <w:rPr>
                <w:rFonts w:ascii="Calibri" w:eastAsia="Times New Roman" w:hAnsi="Calibri" w:cs="Calibri"/>
                <w:lang w:val="de-DE"/>
              </w:rPr>
            </w:pPr>
            <w:r>
              <w:rPr>
                <w:rFonts w:ascii="Calibri" w:eastAsia="Calibri" w:hAnsi="Calibri" w:cs="Calibri"/>
                <w:lang w:val="id-ID"/>
              </w:rPr>
              <w:t>PENGUNGKAPAN KONFLIK SECARA MANDIRI: LANGKAH 2</w:t>
            </w:r>
          </w:p>
        </w:tc>
      </w:tr>
      <w:tr w:rsidR="007C44A2" w14:paraId="0C466CD2" w14:textId="77777777">
        <w:tc>
          <w:tcPr>
            <w:tcW w:w="1129" w:type="dxa"/>
            <w:shd w:val="clear" w:color="auto" w:fill="D9E2F3" w:themeFill="accent1" w:themeFillTint="33"/>
            <w:tcMar>
              <w:top w:w="120" w:type="dxa"/>
              <w:left w:w="180" w:type="dxa"/>
              <w:bottom w:w="120" w:type="dxa"/>
              <w:right w:w="180" w:type="dxa"/>
            </w:tcMar>
            <w:hideMark/>
          </w:tcPr>
          <w:p w14:paraId="0C466CC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0C466CD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w:t>
            </w:r>
            <w:r>
              <w:rPr>
                <w:rFonts w:ascii="Calibri" w:eastAsia="Times New Roman" w:hAnsi="Calibri" w:cs="Calibri"/>
                <w:lang w:val="en-US"/>
              </w:rPr>
              <w:t xml:space="preserve"> that you can take to minimize or eliminate the conflict. If the conflict cannot be minimized or eliminated, DO NOT PROCEED with the proposed activity.</w:t>
            </w:r>
          </w:p>
        </w:tc>
        <w:tc>
          <w:tcPr>
            <w:tcW w:w="6000" w:type="dxa"/>
            <w:vAlign w:val="center"/>
          </w:tcPr>
          <w:p w14:paraId="0C466CD1"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Jika konflik ditemukan, Anda dan manajer Anda harus mengalokasikan waktu untuk mempertimbangkan kemungki</w:t>
            </w:r>
            <w:r>
              <w:rPr>
                <w:rFonts w:ascii="Calibri" w:eastAsia="Calibri" w:hAnsi="Calibri" w:cs="Calibri"/>
                <w:lang w:val="id-ID"/>
              </w:rPr>
              <w:t>nan tindakan yang dapat diambil untuk meminimalkan atau meniadakan konflik. Apabila konflik tidak dapat diminimalkan atau ditiadakan, JANGAN MELANJUTKAN kegiatan yang diajukan.</w:t>
            </w:r>
          </w:p>
        </w:tc>
      </w:tr>
      <w:tr w:rsidR="007C44A2" w14:paraId="0C466CD6" w14:textId="77777777">
        <w:tc>
          <w:tcPr>
            <w:tcW w:w="1129" w:type="dxa"/>
            <w:shd w:val="clear" w:color="auto" w:fill="D9E2F3" w:themeFill="accent1" w:themeFillTint="33"/>
            <w:tcMar>
              <w:top w:w="120" w:type="dxa"/>
              <w:left w:w="180" w:type="dxa"/>
              <w:bottom w:w="120" w:type="dxa"/>
              <w:right w:w="180" w:type="dxa"/>
            </w:tcMar>
            <w:hideMark/>
          </w:tcPr>
          <w:p w14:paraId="0C466CD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0C466CD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3</w:t>
            </w:r>
          </w:p>
        </w:tc>
        <w:tc>
          <w:tcPr>
            <w:tcW w:w="6000" w:type="dxa"/>
            <w:vAlign w:val="center"/>
          </w:tcPr>
          <w:p w14:paraId="0C466CD5" w14:textId="77777777" w:rsidR="007C44A2" w:rsidRDefault="00402097">
            <w:pPr>
              <w:spacing w:before="30" w:after="30"/>
              <w:ind w:left="30" w:right="30"/>
              <w:rPr>
                <w:rFonts w:ascii="Calibri" w:eastAsia="Times New Roman" w:hAnsi="Calibri" w:cs="Calibri"/>
                <w:lang w:val="de-DE"/>
              </w:rPr>
            </w:pPr>
            <w:r>
              <w:rPr>
                <w:rFonts w:ascii="Calibri" w:eastAsia="Calibri" w:hAnsi="Calibri" w:cs="Calibri"/>
                <w:lang w:val="id-ID"/>
              </w:rPr>
              <w:t xml:space="preserve">PENGUNGKAPAN KONFLIK SECARA </w:t>
            </w:r>
            <w:r>
              <w:rPr>
                <w:rFonts w:ascii="Calibri" w:eastAsia="Calibri" w:hAnsi="Calibri" w:cs="Calibri"/>
                <w:lang w:val="id-ID"/>
              </w:rPr>
              <w:t>MANDIRI: LANGKAH 3</w:t>
            </w:r>
          </w:p>
        </w:tc>
      </w:tr>
      <w:tr w:rsidR="007C44A2" w14:paraId="0C466CDA" w14:textId="77777777">
        <w:tc>
          <w:tcPr>
            <w:tcW w:w="1129" w:type="dxa"/>
            <w:shd w:val="clear" w:color="auto" w:fill="D9E2F3" w:themeFill="accent1" w:themeFillTint="33"/>
            <w:tcMar>
              <w:top w:w="120" w:type="dxa"/>
              <w:left w:w="180" w:type="dxa"/>
              <w:bottom w:w="120" w:type="dxa"/>
              <w:right w:w="180" w:type="dxa"/>
            </w:tcMar>
            <w:hideMark/>
          </w:tcPr>
          <w:p w14:paraId="0C466CD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0C466CD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0C466CD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Jika langkah</w:t>
            </w:r>
            <w:r>
              <w:rPr>
                <w:rFonts w:ascii="Calibri" w:eastAsia="Calibri" w:hAnsi="Calibri" w:cs="Calibri"/>
                <w:lang w:val="id-ID"/>
              </w:rPr>
              <w:noBreakHyphen/>
              <w:t>langkah</w:t>
            </w:r>
            <w:r>
              <w:rPr>
                <w:rFonts w:ascii="Calibri" w:eastAsia="Calibri" w:hAnsi="Calibri" w:cs="Calibri"/>
                <w:lang w:val="id-ID"/>
              </w:rPr>
              <w:t xml:space="preserve"> dapat diambil untuk meminimalkan atau meniadakan konflik kepentingan, maka Anda harus mendokumentasikan tindakan ini dalam Formulir Persetujuan Kemungkinan Konflik Kepentingan atau Konflik Kepentingan Aktual dan mengirimkannya melalui Saluran Bantuan “Spe</w:t>
            </w:r>
            <w:r>
              <w:rPr>
                <w:rFonts w:ascii="Calibri" w:eastAsia="Calibri" w:hAnsi="Calibri" w:cs="Calibri"/>
                <w:lang w:val="id-ID"/>
              </w:rPr>
              <w:t>ak Up”.</w:t>
            </w:r>
          </w:p>
        </w:tc>
      </w:tr>
      <w:tr w:rsidR="007C44A2" w14:paraId="0C466CDE" w14:textId="77777777">
        <w:tc>
          <w:tcPr>
            <w:tcW w:w="1129" w:type="dxa"/>
            <w:shd w:val="clear" w:color="auto" w:fill="D9E2F3" w:themeFill="accent1" w:themeFillTint="33"/>
            <w:tcMar>
              <w:top w:w="120" w:type="dxa"/>
              <w:left w:w="180" w:type="dxa"/>
              <w:bottom w:w="120" w:type="dxa"/>
              <w:right w:w="180" w:type="dxa"/>
            </w:tcMar>
            <w:hideMark/>
          </w:tcPr>
          <w:p w14:paraId="0C466CD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0C466CD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0C466CD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MELAPORKAN KONFLIK AKTUAL YANG MELIBATKAN PIHAK LAIN</w:t>
            </w:r>
          </w:p>
        </w:tc>
      </w:tr>
      <w:tr w:rsidR="007C44A2" w14:paraId="0C466CE2" w14:textId="77777777">
        <w:tc>
          <w:tcPr>
            <w:tcW w:w="1129" w:type="dxa"/>
            <w:shd w:val="clear" w:color="auto" w:fill="D9E2F3" w:themeFill="accent1" w:themeFillTint="33"/>
            <w:tcMar>
              <w:top w:w="120" w:type="dxa"/>
              <w:left w:w="180" w:type="dxa"/>
              <w:bottom w:w="120" w:type="dxa"/>
              <w:right w:w="180" w:type="dxa"/>
            </w:tcMar>
            <w:hideMark/>
          </w:tcPr>
          <w:p w14:paraId="0C466CD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0C466CE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you become aware of an actual or potential conflict of interest involving another employee or employees, you should report the conflict to </w:t>
            </w:r>
            <w:r>
              <w:rPr>
                <w:rFonts w:ascii="Calibri" w:eastAsia="Times New Roman" w:hAnsi="Calibri" w:cs="Calibri"/>
                <w:lang w:val="en-US"/>
              </w:rPr>
              <w:t xml:space="preserve">your manager, the OEC, HR, Legal, or through the Speak Up Helpline (speakup.abbott.com). </w:t>
            </w:r>
          </w:p>
        </w:tc>
        <w:tc>
          <w:tcPr>
            <w:tcW w:w="6000" w:type="dxa"/>
            <w:vAlign w:val="center"/>
          </w:tcPr>
          <w:p w14:paraId="0C466CE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Apabila Anda mengetahui kemungkinan konflik kepentingan atau konflik kepentingan aktual yang melibatkan karyawan lain atau beberapa karyawan, Anda harus melaporkan ko</w:t>
            </w:r>
            <w:r>
              <w:rPr>
                <w:rFonts w:ascii="Calibri" w:eastAsia="Calibri" w:hAnsi="Calibri" w:cs="Calibri"/>
                <w:lang w:val="id-ID"/>
              </w:rPr>
              <w:t xml:space="preserve">nflik tersebut kepada manajer Anda, OEC, HR, Hukum, atau melalui Saluran Bantuan “Speak Up” (speakup.abbott.com). </w:t>
            </w:r>
          </w:p>
        </w:tc>
      </w:tr>
      <w:tr w:rsidR="007C44A2" w14:paraId="0C466CE6" w14:textId="77777777">
        <w:tc>
          <w:tcPr>
            <w:tcW w:w="1129" w:type="dxa"/>
            <w:shd w:val="clear" w:color="auto" w:fill="D9E2F3" w:themeFill="accent1" w:themeFillTint="33"/>
            <w:tcMar>
              <w:top w:w="120" w:type="dxa"/>
              <w:left w:w="180" w:type="dxa"/>
              <w:bottom w:w="120" w:type="dxa"/>
              <w:right w:w="180" w:type="dxa"/>
            </w:tcMar>
            <w:hideMark/>
          </w:tcPr>
          <w:p w14:paraId="0C466CE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0C466CE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0C466CE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SERTIFIKASI KONFLIK KEPENTINGAN TAHUNAN</w:t>
            </w:r>
          </w:p>
        </w:tc>
      </w:tr>
      <w:tr w:rsidR="007C44A2" w14:paraId="0C466CEA" w14:textId="77777777">
        <w:tc>
          <w:tcPr>
            <w:tcW w:w="1129" w:type="dxa"/>
            <w:shd w:val="clear" w:color="auto" w:fill="D9E2F3" w:themeFill="accent1" w:themeFillTint="33"/>
            <w:tcMar>
              <w:top w:w="120" w:type="dxa"/>
              <w:left w:w="180" w:type="dxa"/>
              <w:bottom w:w="120" w:type="dxa"/>
              <w:right w:w="180" w:type="dxa"/>
            </w:tcMar>
            <w:hideMark/>
          </w:tcPr>
          <w:p w14:paraId="0C466CE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0C466CE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can also use the annual </w:t>
            </w:r>
            <w:r>
              <w:rPr>
                <w:rFonts w:ascii="Calibri" w:eastAsia="Times New Roman" w:hAnsi="Calibri" w:cs="Calibri"/>
                <w:lang w:val="en-US"/>
              </w:rPr>
              <w:t>Conflicts of Interest Certification to both disclose your own conflicts and to report conflicts of others.</w:t>
            </w:r>
          </w:p>
        </w:tc>
        <w:tc>
          <w:tcPr>
            <w:tcW w:w="6000" w:type="dxa"/>
            <w:vAlign w:val="center"/>
          </w:tcPr>
          <w:p w14:paraId="0C466CE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Anda juga dapat menggunakan Sertifikasi Konflik Kepentingan tahunan untuk mengungkapkan konflik Anda sendiri maupun melaporkan konflik orang lain.</w:t>
            </w:r>
          </w:p>
        </w:tc>
      </w:tr>
      <w:tr w:rsidR="007C44A2" w14:paraId="0C466CEE" w14:textId="77777777">
        <w:tc>
          <w:tcPr>
            <w:tcW w:w="1129" w:type="dxa"/>
            <w:shd w:val="clear" w:color="auto" w:fill="D9E2F3" w:themeFill="accent1" w:themeFillTint="33"/>
            <w:tcMar>
              <w:top w:w="120" w:type="dxa"/>
              <w:left w:w="180" w:type="dxa"/>
              <w:bottom w:w="120" w:type="dxa"/>
              <w:right w:w="180" w:type="dxa"/>
            </w:tcMar>
            <w:hideMark/>
          </w:tcPr>
          <w:p w14:paraId="0C466CE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w:t>
            </w:r>
            <w:r>
              <w:rPr>
                <w:rFonts w:ascii="Calibri" w:eastAsia="Times New Roman" w:hAnsi="Calibri" w:cs="Calibri"/>
                <w:sz w:val="16"/>
                <w:lang w:val="en-US"/>
              </w:rPr>
              <w:t>D 128</w:t>
            </w:r>
          </w:p>
        </w:tc>
        <w:tc>
          <w:tcPr>
            <w:tcW w:w="5535" w:type="dxa"/>
            <w:shd w:val="clear" w:color="auto" w:fill="auto"/>
            <w:tcMar>
              <w:top w:w="120" w:type="dxa"/>
              <w:left w:w="180" w:type="dxa"/>
              <w:bottom w:w="120" w:type="dxa"/>
              <w:right w:w="180" w:type="dxa"/>
            </w:tcMar>
            <w:vAlign w:val="center"/>
            <w:hideMark/>
          </w:tcPr>
          <w:p w14:paraId="0C466CE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0C466CED" w14:textId="77777777" w:rsidR="007C44A2" w:rsidRDefault="00402097">
            <w:pPr>
              <w:spacing w:before="30" w:after="30"/>
              <w:ind w:left="30" w:right="30"/>
              <w:rPr>
                <w:rFonts w:ascii="Calibri" w:eastAsia="Times New Roman" w:hAnsi="Calibri" w:cs="Calibri"/>
                <w:lang w:val="nl-NL"/>
              </w:rPr>
            </w:pPr>
            <w:r>
              <w:rPr>
                <w:rFonts w:ascii="Calibri" w:eastAsia="Calibri" w:hAnsi="Calibri" w:cs="Calibri"/>
                <w:lang w:val="id-ID"/>
              </w:rPr>
              <w:t>TEMPAT MENDAPATKAN BANTUAN DAN DUKUNGAN</w:t>
            </w:r>
          </w:p>
        </w:tc>
      </w:tr>
      <w:tr w:rsidR="007C44A2" w14:paraId="0C466CF2" w14:textId="77777777">
        <w:tc>
          <w:tcPr>
            <w:tcW w:w="1129" w:type="dxa"/>
            <w:shd w:val="clear" w:color="auto" w:fill="D9E2F3" w:themeFill="accent1" w:themeFillTint="33"/>
            <w:tcMar>
              <w:top w:w="120" w:type="dxa"/>
              <w:left w:w="180" w:type="dxa"/>
              <w:bottom w:w="120" w:type="dxa"/>
              <w:right w:w="180" w:type="dxa"/>
            </w:tcMar>
            <w:hideMark/>
          </w:tcPr>
          <w:p w14:paraId="0C466CE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0C466CF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If you have an actual or potential conflict of interest, or if you are unsure, or have questions about conflicts of interest, speak to your manager, the OEC, HR, or Lega</w:t>
            </w:r>
            <w:r>
              <w:rPr>
                <w:rFonts w:ascii="Calibri" w:eastAsia="Times New Roman" w:hAnsi="Calibri" w:cs="Calibri"/>
                <w:lang w:val="en-US"/>
              </w:rPr>
              <w:t>l.</w:t>
            </w:r>
          </w:p>
        </w:tc>
        <w:tc>
          <w:tcPr>
            <w:tcW w:w="6000" w:type="dxa"/>
            <w:vAlign w:val="center"/>
          </w:tcPr>
          <w:p w14:paraId="0C466CF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Apabila Anda memiliki kemungkinan konflik kepentingan atau konflik kepentingan aktual, atau jika Anda tidak yakin, atau memiliki pertanyaan mengenai konflik kepentingan, selalu bicaralah kepada manajer Anda, OEC, bagian SDM atau Hukum.</w:t>
            </w:r>
          </w:p>
        </w:tc>
      </w:tr>
      <w:tr w:rsidR="007C44A2" w14:paraId="0C466CF6" w14:textId="77777777">
        <w:tc>
          <w:tcPr>
            <w:tcW w:w="1129" w:type="dxa"/>
            <w:shd w:val="clear" w:color="auto" w:fill="D9E2F3" w:themeFill="accent1" w:themeFillTint="33"/>
            <w:tcMar>
              <w:top w:w="120" w:type="dxa"/>
              <w:left w:w="180" w:type="dxa"/>
              <w:bottom w:w="120" w:type="dxa"/>
              <w:right w:w="180" w:type="dxa"/>
            </w:tcMar>
            <w:hideMark/>
          </w:tcPr>
          <w:p w14:paraId="0C466CF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0C466CF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w:t>
            </w:r>
            <w:r>
              <w:rPr>
                <w:rFonts w:ascii="Calibri" w:eastAsia="Times New Roman" w:hAnsi="Calibri" w:cs="Calibri"/>
                <w:lang w:val="en-US"/>
              </w:rPr>
              <w:t>have completed section {a} of {b}</w:t>
            </w:r>
          </w:p>
        </w:tc>
        <w:tc>
          <w:tcPr>
            <w:tcW w:w="6000" w:type="dxa"/>
            <w:vAlign w:val="center"/>
          </w:tcPr>
          <w:p w14:paraId="0C466CF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Anda telah menyelesaikan bagian {a} dari {b}</w:t>
            </w:r>
          </w:p>
        </w:tc>
      </w:tr>
      <w:tr w:rsidR="007C44A2" w14:paraId="0C466CFA" w14:textId="77777777">
        <w:tc>
          <w:tcPr>
            <w:tcW w:w="1129" w:type="dxa"/>
            <w:shd w:val="clear" w:color="auto" w:fill="D9E2F3" w:themeFill="accent1" w:themeFillTint="33"/>
            <w:tcMar>
              <w:top w:w="120" w:type="dxa"/>
              <w:left w:w="180" w:type="dxa"/>
              <w:bottom w:w="120" w:type="dxa"/>
              <w:right w:w="180" w:type="dxa"/>
            </w:tcMar>
            <w:hideMark/>
          </w:tcPr>
          <w:p w14:paraId="0C466CF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0C466CF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0C466CF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KLIK PANAH MAJU UNTUK MELANJUTKAN PEMBELAJARAN</w:t>
            </w:r>
          </w:p>
        </w:tc>
      </w:tr>
      <w:tr w:rsidR="007C44A2" w14:paraId="0C466CFE" w14:textId="77777777">
        <w:tc>
          <w:tcPr>
            <w:tcW w:w="1129" w:type="dxa"/>
            <w:shd w:val="clear" w:color="auto" w:fill="D9E2F3" w:themeFill="accent1" w:themeFillTint="33"/>
            <w:tcMar>
              <w:top w:w="120" w:type="dxa"/>
              <w:left w:w="180" w:type="dxa"/>
              <w:bottom w:w="120" w:type="dxa"/>
              <w:right w:w="180" w:type="dxa"/>
            </w:tcMar>
          </w:tcPr>
          <w:p w14:paraId="0C466CF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0C466CFC" w14:textId="77777777" w:rsidR="007C44A2" w:rsidRDefault="00402097">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0C466CFD" w14:textId="77777777" w:rsidR="007C44A2" w:rsidRDefault="00402097">
            <w:pPr>
              <w:spacing w:before="30" w:after="30"/>
              <w:ind w:left="30" w:right="30"/>
              <w:rPr>
                <w:rFonts w:ascii="Calibri" w:eastAsia="Times New Roman" w:hAnsi="Calibri" w:cs="Calibri"/>
                <w:lang w:val="en-US"/>
              </w:rPr>
            </w:pPr>
            <w:r>
              <w:rPr>
                <w:rFonts w:ascii="Calibri" w:eastAsia="Calibri" w:hAnsi="Calibri"/>
                <w:lang w:val="id-ID"/>
              </w:rPr>
              <w:t>Klik panah untuk memulai tinja</w:t>
            </w:r>
            <w:r>
              <w:rPr>
                <w:rFonts w:ascii="Calibri" w:eastAsia="Calibri" w:hAnsi="Calibri"/>
                <w:lang w:val="id-ID"/>
              </w:rPr>
              <w:t>uan Anda.</w:t>
            </w:r>
          </w:p>
        </w:tc>
      </w:tr>
      <w:tr w:rsidR="007C44A2" w14:paraId="0C466D02" w14:textId="77777777">
        <w:tc>
          <w:tcPr>
            <w:tcW w:w="1129" w:type="dxa"/>
            <w:shd w:val="clear" w:color="auto" w:fill="D9E2F3" w:themeFill="accent1" w:themeFillTint="33"/>
            <w:tcMar>
              <w:top w:w="120" w:type="dxa"/>
              <w:left w:w="180" w:type="dxa"/>
              <w:bottom w:w="120" w:type="dxa"/>
              <w:right w:w="180" w:type="dxa"/>
            </w:tcMar>
          </w:tcPr>
          <w:p w14:paraId="0C466CF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0C466D00" w14:textId="77777777" w:rsidR="007C44A2" w:rsidRDefault="00402097">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0C466D01" w14:textId="77777777" w:rsidR="007C44A2" w:rsidRDefault="00402097">
            <w:pPr>
              <w:spacing w:before="30" w:after="30"/>
              <w:ind w:left="30" w:right="30"/>
              <w:rPr>
                <w:rFonts w:ascii="Calibri" w:eastAsia="Times New Roman" w:hAnsi="Calibri" w:cs="Calibri"/>
                <w:lang w:val="en-US"/>
              </w:rPr>
            </w:pPr>
            <w:r>
              <w:rPr>
                <w:rFonts w:ascii="Calibri" w:eastAsia="Calibri" w:hAnsi="Calibri"/>
                <w:lang w:val="id-ID"/>
              </w:rPr>
              <w:t>Untuk melihat kemajuan Anda, klik tombol Menu.</w:t>
            </w:r>
          </w:p>
        </w:tc>
      </w:tr>
      <w:tr w:rsidR="007C44A2" w14:paraId="0C466D06" w14:textId="77777777">
        <w:tc>
          <w:tcPr>
            <w:tcW w:w="1129" w:type="dxa"/>
            <w:shd w:val="clear" w:color="auto" w:fill="D9E2F3" w:themeFill="accent1" w:themeFillTint="33"/>
            <w:tcMar>
              <w:top w:w="120" w:type="dxa"/>
              <w:left w:w="180" w:type="dxa"/>
              <w:bottom w:w="120" w:type="dxa"/>
              <w:right w:w="180" w:type="dxa"/>
            </w:tcMar>
            <w:hideMark/>
          </w:tcPr>
          <w:p w14:paraId="0C466D0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C466D0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0C466D0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TEMPAT MENDAPATKAN BANTUAN</w:t>
            </w:r>
          </w:p>
        </w:tc>
      </w:tr>
      <w:tr w:rsidR="007C44A2" w14:paraId="0C466D0A" w14:textId="77777777">
        <w:tc>
          <w:tcPr>
            <w:tcW w:w="1129" w:type="dxa"/>
            <w:shd w:val="clear" w:color="auto" w:fill="D9E2F3" w:themeFill="accent1" w:themeFillTint="33"/>
            <w:tcMar>
              <w:top w:w="120" w:type="dxa"/>
              <w:left w:w="180" w:type="dxa"/>
              <w:bottom w:w="120" w:type="dxa"/>
              <w:right w:w="180" w:type="dxa"/>
            </w:tcMar>
            <w:hideMark/>
          </w:tcPr>
          <w:p w14:paraId="0C466D0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0C466D0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0C466D0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Kunjungi halaman Kontak Kepatuhan iComply di </w:t>
            </w:r>
            <w:hyperlink r:id="rId5" w:history="1">
              <w:r>
                <w:rPr>
                  <w:rFonts w:ascii="Calibri" w:eastAsia="Calibri" w:hAnsi="Calibri" w:cs="Calibri"/>
                  <w:color w:val="0000FF"/>
                  <w:u w:val="single"/>
                  <w:lang w:val="id-ID"/>
                </w:rPr>
                <w:t>situs web OEC</w:t>
              </w:r>
            </w:hyperlink>
            <w:r>
              <w:rPr>
                <w:rFonts w:ascii="Calibri" w:eastAsia="Calibri" w:hAnsi="Calibri" w:cs="Calibri"/>
                <w:lang w:val="id-ID"/>
              </w:rPr>
              <w:t xml:space="preserve"> di Abbott World. </w:t>
            </w:r>
          </w:p>
        </w:tc>
      </w:tr>
      <w:tr w:rsidR="007C44A2" w14:paraId="0C466D0E" w14:textId="77777777">
        <w:tc>
          <w:tcPr>
            <w:tcW w:w="1129" w:type="dxa"/>
            <w:shd w:val="clear" w:color="auto" w:fill="D9E2F3" w:themeFill="accent1" w:themeFillTint="33"/>
            <w:tcMar>
              <w:top w:w="120" w:type="dxa"/>
              <w:left w:w="180" w:type="dxa"/>
              <w:bottom w:w="120" w:type="dxa"/>
              <w:right w:w="180" w:type="dxa"/>
            </w:tcMar>
            <w:hideMark/>
          </w:tcPr>
          <w:p w14:paraId="0C466D0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0C466D0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0C466D0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MATERI REFERENSI</w:t>
            </w:r>
          </w:p>
        </w:tc>
      </w:tr>
      <w:tr w:rsidR="007C44A2" w14:paraId="0C466D12" w14:textId="77777777">
        <w:tc>
          <w:tcPr>
            <w:tcW w:w="1129" w:type="dxa"/>
            <w:shd w:val="clear" w:color="auto" w:fill="D9E2F3" w:themeFill="accent1" w:themeFillTint="33"/>
            <w:tcMar>
              <w:top w:w="120" w:type="dxa"/>
              <w:left w:w="180" w:type="dxa"/>
              <w:bottom w:w="120" w:type="dxa"/>
              <w:right w:w="180" w:type="dxa"/>
            </w:tcMar>
          </w:tcPr>
          <w:p w14:paraId="0C466D0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0C466D10" w14:textId="77777777" w:rsidR="007C44A2" w:rsidRDefault="00402097">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0C466D1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Sumber Daya Kursus</w:t>
            </w:r>
          </w:p>
        </w:tc>
      </w:tr>
      <w:tr w:rsidR="007C44A2" w14:paraId="0C466D16" w14:textId="77777777">
        <w:tc>
          <w:tcPr>
            <w:tcW w:w="1129" w:type="dxa"/>
            <w:shd w:val="clear" w:color="auto" w:fill="D9E2F3" w:themeFill="accent1" w:themeFillTint="33"/>
            <w:tcMar>
              <w:top w:w="120" w:type="dxa"/>
              <w:left w:w="180" w:type="dxa"/>
              <w:bottom w:w="120" w:type="dxa"/>
              <w:right w:w="180" w:type="dxa"/>
            </w:tcMar>
            <w:hideMark/>
          </w:tcPr>
          <w:p w14:paraId="0C466D1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0C466D1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0C466D1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Salinan</w:t>
            </w:r>
          </w:p>
        </w:tc>
      </w:tr>
      <w:tr w:rsidR="007C44A2" w14:paraId="0C466D1A" w14:textId="77777777">
        <w:tc>
          <w:tcPr>
            <w:tcW w:w="1129" w:type="dxa"/>
            <w:shd w:val="clear" w:color="auto" w:fill="D9E2F3" w:themeFill="accent1" w:themeFillTint="33"/>
            <w:tcMar>
              <w:top w:w="120" w:type="dxa"/>
              <w:left w:w="180" w:type="dxa"/>
              <w:bottom w:w="120" w:type="dxa"/>
              <w:right w:w="180" w:type="dxa"/>
            </w:tcMar>
            <w:hideMark/>
          </w:tcPr>
          <w:p w14:paraId="0C466D1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0C466D1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0C466D1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Klik </w:t>
            </w:r>
            <w:hyperlink r:id="rId7" w:tgtFrame="_blank" w:history="1">
              <w:r>
                <w:rPr>
                  <w:rFonts w:ascii="Calibri" w:eastAsia="Calibri" w:hAnsi="Calibri" w:cs="Calibri"/>
                  <w:color w:val="0000FF"/>
                  <w:u w:val="single"/>
                  <w:lang w:val="id-ID"/>
                </w:rPr>
                <w:t>di sini</w:t>
              </w:r>
            </w:hyperlink>
            <w:r>
              <w:rPr>
                <w:rFonts w:ascii="Calibri" w:eastAsia="Calibri" w:hAnsi="Calibri" w:cs="Calibri"/>
                <w:lang w:val="id-ID"/>
              </w:rPr>
              <w:t xml:space="preserve"> untuk memperoleh transkrip lengkap k</w:t>
            </w:r>
            <w:r>
              <w:rPr>
                <w:rFonts w:ascii="Calibri" w:eastAsia="Calibri" w:hAnsi="Calibri" w:cs="Calibri"/>
                <w:lang w:val="id-ID"/>
              </w:rPr>
              <w:t>ursus.</w:t>
            </w:r>
          </w:p>
        </w:tc>
      </w:tr>
      <w:tr w:rsidR="007C44A2" w14:paraId="0C466D1E" w14:textId="77777777">
        <w:tc>
          <w:tcPr>
            <w:tcW w:w="1129" w:type="dxa"/>
            <w:shd w:val="clear" w:color="auto" w:fill="D9E2F3" w:themeFill="accent1" w:themeFillTint="33"/>
            <w:tcMar>
              <w:top w:w="120" w:type="dxa"/>
              <w:left w:w="180" w:type="dxa"/>
              <w:bottom w:w="120" w:type="dxa"/>
              <w:right w:w="180" w:type="dxa"/>
            </w:tcMar>
            <w:hideMark/>
          </w:tcPr>
          <w:p w14:paraId="0C466D1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0C466D1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0C466D1D"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Uji Pengetahuan berikut terdiri atas 10 pertanyaan. Anda harus mendapatkan skor 80% atau lebih untuk berhasil menye</w:t>
            </w:r>
            <w:r>
              <w:rPr>
                <w:rFonts w:ascii="Calibri" w:eastAsia="Calibri" w:hAnsi="Calibri" w:cs="Calibri"/>
                <w:lang w:val="id-ID"/>
              </w:rPr>
              <w:t>lesaikan kursus ini.</w:t>
            </w:r>
          </w:p>
        </w:tc>
      </w:tr>
      <w:tr w:rsidR="007C44A2" w14:paraId="0C466D22" w14:textId="77777777">
        <w:tc>
          <w:tcPr>
            <w:tcW w:w="1129" w:type="dxa"/>
            <w:shd w:val="clear" w:color="auto" w:fill="D9E2F3" w:themeFill="accent1" w:themeFillTint="33"/>
            <w:tcMar>
              <w:top w:w="120" w:type="dxa"/>
              <w:left w:w="180" w:type="dxa"/>
              <w:bottom w:w="120" w:type="dxa"/>
              <w:right w:w="180" w:type="dxa"/>
            </w:tcMar>
            <w:hideMark/>
          </w:tcPr>
          <w:p w14:paraId="0C466D1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0C466D2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ready, click the Knowledge Check button. </w:t>
            </w:r>
          </w:p>
        </w:tc>
        <w:tc>
          <w:tcPr>
            <w:tcW w:w="6000" w:type="dxa"/>
            <w:vAlign w:val="center"/>
          </w:tcPr>
          <w:p w14:paraId="0C466D2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Setelah Anda siap, klik tombol Uji Pengetahuan. </w:t>
            </w:r>
          </w:p>
        </w:tc>
      </w:tr>
      <w:tr w:rsidR="007C44A2" w14:paraId="0C466D26" w14:textId="77777777">
        <w:tc>
          <w:tcPr>
            <w:tcW w:w="1129" w:type="dxa"/>
            <w:shd w:val="clear" w:color="auto" w:fill="D9E2F3" w:themeFill="accent1" w:themeFillTint="33"/>
            <w:tcMar>
              <w:top w:w="120" w:type="dxa"/>
              <w:left w:w="180" w:type="dxa"/>
              <w:bottom w:w="120" w:type="dxa"/>
              <w:right w:w="180" w:type="dxa"/>
            </w:tcMar>
            <w:hideMark/>
          </w:tcPr>
          <w:p w14:paraId="0C466D2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0C466D2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0C466D2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Memiliki konflik kepentingan secara otomatis melarang Anda melakukan kegiatan yang Anda inginkan. </w:t>
            </w:r>
          </w:p>
        </w:tc>
      </w:tr>
      <w:tr w:rsidR="007C44A2" w14:paraId="0C466D2A" w14:textId="77777777">
        <w:tc>
          <w:tcPr>
            <w:tcW w:w="1129" w:type="dxa"/>
            <w:shd w:val="clear" w:color="auto" w:fill="D9E2F3" w:themeFill="accent1" w:themeFillTint="33"/>
            <w:tcMar>
              <w:top w:w="120" w:type="dxa"/>
              <w:left w:w="180" w:type="dxa"/>
              <w:bottom w:w="120" w:type="dxa"/>
              <w:right w:w="180" w:type="dxa"/>
            </w:tcMar>
            <w:hideMark/>
          </w:tcPr>
          <w:p w14:paraId="0C466D2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0C466D2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does not automatically prohibit you from pursuing the desired activity. Oftentimes, conflicts of interest can be resolv</w:t>
            </w:r>
            <w:r>
              <w:rPr>
                <w:rFonts w:ascii="Calibri" w:eastAsia="Times New Roman" w:hAnsi="Calibri" w:cs="Calibri"/>
                <w:lang w:val="en-US"/>
              </w:rPr>
              <w:t>ed by taking certain actions to minimize or eliminate the conflict and avoid any impact to Abbott’s business.</w:t>
            </w:r>
          </w:p>
        </w:tc>
        <w:tc>
          <w:tcPr>
            <w:tcW w:w="6000" w:type="dxa"/>
            <w:vAlign w:val="center"/>
          </w:tcPr>
          <w:p w14:paraId="0C466D29"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Terlibat dalam konflik kepentingan tidak serta</w:t>
            </w:r>
            <w:r>
              <w:rPr>
                <w:rFonts w:ascii="Calibri" w:eastAsia="Calibri" w:hAnsi="Calibri" w:cs="Calibri"/>
                <w:lang w:val="id-ID"/>
              </w:rPr>
              <w:noBreakHyphen/>
              <w:t xml:space="preserve">merta menjadikan Anda dilarang melakukan kegiatan yang Anda inginkan. Sering kali, konflik </w:t>
            </w:r>
            <w:r>
              <w:rPr>
                <w:rFonts w:ascii="Calibri" w:eastAsia="Calibri" w:hAnsi="Calibri" w:cs="Calibri"/>
                <w:lang w:val="id-ID"/>
              </w:rPr>
              <w:t>kepentingan dapat diselesaikan dengan mengambil tindakan tertentu untuk meminimalkan atau mengeliminasi konflik serta menghindarkan dampaknya terhadap bisnis Abbott.</w:t>
            </w:r>
          </w:p>
        </w:tc>
      </w:tr>
      <w:tr w:rsidR="007C44A2" w14:paraId="0C466D2E" w14:textId="77777777">
        <w:tc>
          <w:tcPr>
            <w:tcW w:w="1129" w:type="dxa"/>
            <w:shd w:val="clear" w:color="auto" w:fill="D9E2F3" w:themeFill="accent1" w:themeFillTint="33"/>
            <w:tcMar>
              <w:top w:w="120" w:type="dxa"/>
              <w:left w:w="180" w:type="dxa"/>
              <w:bottom w:w="120" w:type="dxa"/>
              <w:right w:w="180" w:type="dxa"/>
            </w:tcMar>
            <w:hideMark/>
          </w:tcPr>
          <w:p w14:paraId="0C466D2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0C466D2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Hiring your sister’s company would create a conflict of interest involving a </w:t>
            </w:r>
            <w:r>
              <w:rPr>
                <w:rFonts w:ascii="Calibri" w:eastAsia="Times New Roman" w:hAnsi="Calibri" w:cs="Calibri"/>
                <w:lang w:val="en-US"/>
              </w:rPr>
              <w:t>family member. However, these types of conflicts can be resolved by simply disclosing the situation to your manager.</w:t>
            </w:r>
          </w:p>
        </w:tc>
        <w:tc>
          <w:tcPr>
            <w:tcW w:w="6000" w:type="dxa"/>
            <w:vAlign w:val="center"/>
          </w:tcPr>
          <w:p w14:paraId="0C466D2D"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Ya. Menggunakan jasa perusahaan saudara perempuan Anda akan menciptakan konflik kepentingan yang melibatkan anggota keluarga. Namun demikia</w:t>
            </w:r>
            <w:r>
              <w:rPr>
                <w:rFonts w:ascii="Calibri" w:eastAsia="Calibri" w:hAnsi="Calibri" w:cs="Calibri"/>
                <w:lang w:val="id-ID"/>
              </w:rPr>
              <w:t>n, jenis konflik ini dapat diselesaikan, cukup dengan mengungkapkan situasi ini kepada manajer Anda.</w:t>
            </w:r>
          </w:p>
        </w:tc>
      </w:tr>
      <w:tr w:rsidR="007C44A2" w14:paraId="0C466D32" w14:textId="77777777">
        <w:tc>
          <w:tcPr>
            <w:tcW w:w="1129" w:type="dxa"/>
            <w:shd w:val="clear" w:color="auto" w:fill="D9E2F3" w:themeFill="accent1" w:themeFillTint="33"/>
            <w:tcMar>
              <w:top w:w="120" w:type="dxa"/>
              <w:left w:w="180" w:type="dxa"/>
              <w:bottom w:w="120" w:type="dxa"/>
              <w:right w:w="180" w:type="dxa"/>
            </w:tcMar>
            <w:hideMark/>
          </w:tcPr>
          <w:p w14:paraId="0C466D2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0C466D3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0C466D3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Ya. Menerima hadiah, pembayaran, d</w:t>
            </w:r>
            <w:r>
              <w:rPr>
                <w:rFonts w:ascii="Calibri" w:eastAsia="Calibri" w:hAnsi="Calibri" w:cs="Calibri"/>
                <w:lang w:val="id-ID"/>
              </w:rPr>
              <w:t xml:space="preserve">an tawaran lainnya dari pemasok menciptakan kemungkinan konflik kepentingan. </w:t>
            </w:r>
          </w:p>
        </w:tc>
      </w:tr>
      <w:tr w:rsidR="007C44A2" w14:paraId="0C466D36" w14:textId="77777777">
        <w:tc>
          <w:tcPr>
            <w:tcW w:w="1129" w:type="dxa"/>
            <w:shd w:val="clear" w:color="auto" w:fill="D9E2F3" w:themeFill="accent1" w:themeFillTint="33"/>
            <w:tcMar>
              <w:top w:w="120" w:type="dxa"/>
              <w:left w:w="180" w:type="dxa"/>
              <w:bottom w:w="120" w:type="dxa"/>
              <w:right w:w="180" w:type="dxa"/>
            </w:tcMar>
            <w:hideMark/>
          </w:tcPr>
          <w:p w14:paraId="0C466D3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0C466D3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Yes. Abbott employees are not allowed to attend supplier-sponsored events for any purpose.</w:t>
            </w:r>
          </w:p>
        </w:tc>
        <w:tc>
          <w:tcPr>
            <w:tcW w:w="6000" w:type="dxa"/>
            <w:vAlign w:val="center"/>
          </w:tcPr>
          <w:p w14:paraId="0C466D3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 xml:space="preserve">Ya. Karyawan Abbott tidak diizinkan menghadiri acara yang disponsori </w:t>
            </w:r>
            <w:r>
              <w:rPr>
                <w:rFonts w:ascii="Calibri" w:eastAsia="Calibri" w:hAnsi="Calibri" w:cs="Calibri"/>
                <w:lang w:val="id-ID"/>
              </w:rPr>
              <w:t>pemasok untuk tujuan apa pun.</w:t>
            </w:r>
          </w:p>
        </w:tc>
      </w:tr>
      <w:tr w:rsidR="007C44A2" w14:paraId="0C466D3A" w14:textId="77777777">
        <w:tc>
          <w:tcPr>
            <w:tcW w:w="1129" w:type="dxa"/>
            <w:shd w:val="clear" w:color="auto" w:fill="D9E2F3" w:themeFill="accent1" w:themeFillTint="33"/>
            <w:tcMar>
              <w:top w:w="120" w:type="dxa"/>
              <w:left w:w="180" w:type="dxa"/>
              <w:bottom w:w="120" w:type="dxa"/>
              <w:right w:w="180" w:type="dxa"/>
            </w:tcMar>
            <w:hideMark/>
          </w:tcPr>
          <w:p w14:paraId="0C466D3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0C466D3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 influencing an e</w:t>
            </w:r>
            <w:r>
              <w:rPr>
                <w:rFonts w:ascii="Calibri" w:eastAsia="Times New Roman" w:hAnsi="Calibri" w:cs="Calibri"/>
                <w:lang w:val="en-US"/>
              </w:rPr>
              <w:t xml:space="preserve">mployee’s purchasing decisions. It may also create a perception of inappropriate behavior. You should discuss the situation with your manager. </w:t>
            </w:r>
          </w:p>
        </w:tc>
        <w:tc>
          <w:tcPr>
            <w:tcW w:w="6000" w:type="dxa"/>
            <w:vAlign w:val="center"/>
          </w:tcPr>
          <w:p w14:paraId="0C466D3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Menerima hadiah, pembayaran, dan tawaran lainnya dari pemasok, vendor, atau rekan bisnis Abbott lainnya mencipta</w:t>
            </w:r>
            <w:r>
              <w:rPr>
                <w:rFonts w:ascii="Calibri" w:eastAsia="Calibri" w:hAnsi="Calibri" w:cs="Calibri"/>
                <w:lang w:val="id-ID"/>
              </w:rPr>
              <w:t xml:space="preserve">kan kemungkinan konflik kepentingan karena dapat memengaruhi atau memberikan kesan memengaruhi keputusan pembelian karyawan. Ini juga dapat menciptakan kesan tentang perilaku yang tidak pantas. Anda harus membahas situasinya dengan manajer Anda. </w:t>
            </w:r>
          </w:p>
        </w:tc>
      </w:tr>
      <w:tr w:rsidR="007C44A2" w14:paraId="0C466D3E" w14:textId="77777777">
        <w:tc>
          <w:tcPr>
            <w:tcW w:w="1129" w:type="dxa"/>
            <w:shd w:val="clear" w:color="auto" w:fill="D9E2F3" w:themeFill="accent1" w:themeFillTint="33"/>
            <w:tcMar>
              <w:top w:w="120" w:type="dxa"/>
              <w:left w:w="180" w:type="dxa"/>
              <w:bottom w:w="120" w:type="dxa"/>
              <w:right w:w="180" w:type="dxa"/>
            </w:tcMar>
            <w:hideMark/>
          </w:tcPr>
          <w:p w14:paraId="0C466D3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0C466D3C"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T</w:t>
            </w:r>
            <w:r>
              <w:rPr>
                <w:rFonts w:ascii="Calibri" w:eastAsia="Times New Roman" w:hAnsi="Calibri" w:cs="Calibri"/>
                <w:lang w:val="en-US"/>
              </w:rPr>
              <w:t>herefore, as with any potential employment or consulting opportunity, you should assume that it is a potential conflict of interest and discuss the situation with your manager.</w:t>
            </w:r>
          </w:p>
        </w:tc>
        <w:tc>
          <w:tcPr>
            <w:tcW w:w="6000" w:type="dxa"/>
            <w:vAlign w:val="center"/>
          </w:tcPr>
          <w:p w14:paraId="0C466D3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Karena itu, sama halnya dengan kemungkinan peluang pekerjaan atau konsultasi ap</w:t>
            </w:r>
            <w:r>
              <w:rPr>
                <w:rFonts w:ascii="Calibri" w:eastAsia="Calibri" w:hAnsi="Calibri" w:cs="Calibri"/>
                <w:lang w:val="id-ID"/>
              </w:rPr>
              <w:t>a pun, Anda harus menganggap ini merupakan kemungkinan konflik kepentingan dan membahas situasi ini dengan manajer Anda.</w:t>
            </w:r>
          </w:p>
        </w:tc>
      </w:tr>
      <w:tr w:rsidR="007C44A2" w14:paraId="0C466D42" w14:textId="77777777">
        <w:tc>
          <w:tcPr>
            <w:tcW w:w="1129" w:type="dxa"/>
            <w:shd w:val="clear" w:color="auto" w:fill="D9E2F3" w:themeFill="accent1" w:themeFillTint="33"/>
            <w:tcMar>
              <w:top w:w="120" w:type="dxa"/>
              <w:left w:w="180" w:type="dxa"/>
              <w:bottom w:w="120" w:type="dxa"/>
              <w:right w:w="180" w:type="dxa"/>
            </w:tcMar>
            <w:hideMark/>
          </w:tcPr>
          <w:p w14:paraId="0C466D3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0C466D40"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0C466D41" w14:textId="77777777" w:rsidR="007C44A2" w:rsidRDefault="00402097">
            <w:pPr>
              <w:spacing w:before="30" w:after="30"/>
              <w:ind w:left="30" w:right="30"/>
              <w:rPr>
                <w:rFonts w:ascii="Calibri" w:eastAsia="Times New Roman" w:hAnsi="Calibri" w:cs="Calibri"/>
                <w:lang w:val="id-ID"/>
              </w:rPr>
            </w:pPr>
            <w:r>
              <w:rPr>
                <w:rFonts w:ascii="Calibri" w:eastAsia="Calibri" w:hAnsi="Calibri" w:cs="Calibri"/>
                <w:lang w:val="id-ID"/>
              </w:rPr>
              <w:t>Maaf</w:t>
            </w:r>
            <w:r>
              <w:rPr>
                <w:rFonts w:ascii="Calibri" w:eastAsia="Calibri" w:hAnsi="Calibri" w:cs="Calibri"/>
                <w:lang w:val="id-ID"/>
              </w:rPr>
              <w:t>, Anda tidak lulus Uji Pengetahuan. Luangkan beberapa menit untuk melihat hasil yang Anda peroleh di bawah ini dengan mengeklik masing</w:t>
            </w:r>
            <w:r>
              <w:rPr>
                <w:rFonts w:ascii="Calibri" w:eastAsia="Calibri" w:hAnsi="Calibri" w:cs="Calibri"/>
                <w:lang w:val="id-ID"/>
              </w:rPr>
              <w:noBreakHyphen/>
              <w:t>masing pertanyaan.</w:t>
            </w:r>
          </w:p>
        </w:tc>
      </w:tr>
      <w:tr w:rsidR="007C44A2" w14:paraId="0C466D46" w14:textId="77777777">
        <w:tc>
          <w:tcPr>
            <w:tcW w:w="1129" w:type="dxa"/>
            <w:shd w:val="clear" w:color="auto" w:fill="D9E2F3" w:themeFill="accent1" w:themeFillTint="33"/>
            <w:tcMar>
              <w:top w:w="120" w:type="dxa"/>
              <w:left w:w="180" w:type="dxa"/>
              <w:bottom w:w="120" w:type="dxa"/>
              <w:right w:w="180" w:type="dxa"/>
            </w:tcMar>
            <w:hideMark/>
          </w:tcPr>
          <w:p w14:paraId="0C466D4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0C466D44"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0C466D45" w14:textId="77777777" w:rsidR="007C44A2" w:rsidRDefault="00402097">
            <w:pPr>
              <w:spacing w:before="30" w:after="30"/>
              <w:ind w:left="30" w:right="30"/>
              <w:rPr>
                <w:rFonts w:ascii="Calibri" w:eastAsia="Times New Roman" w:hAnsi="Calibri" w:cs="Calibri"/>
              </w:rPr>
            </w:pPr>
            <w:r>
              <w:rPr>
                <w:rFonts w:ascii="Calibri" w:eastAsia="Calibri" w:hAnsi="Calibri" w:cs="Calibri"/>
                <w:lang w:val="id-ID"/>
              </w:rPr>
              <w:t xml:space="preserve">Setelah Anda selesai, klik tombol </w:t>
            </w:r>
            <w:r>
              <w:rPr>
                <w:rFonts w:ascii="Calibri" w:eastAsia="Calibri" w:hAnsi="Calibri" w:cs="Calibri"/>
                <w:b/>
                <w:bCs/>
                <w:lang w:val="id-ID"/>
              </w:rPr>
              <w:t>Ulangi</w:t>
            </w:r>
            <w:r>
              <w:rPr>
                <w:rFonts w:ascii="Calibri" w:eastAsia="Calibri" w:hAnsi="Calibri" w:cs="Calibri"/>
                <w:lang w:val="id-ID"/>
              </w:rPr>
              <w:t>.</w:t>
            </w:r>
          </w:p>
        </w:tc>
      </w:tr>
      <w:tr w:rsidR="007C44A2" w14:paraId="0C466D4A" w14:textId="77777777">
        <w:tc>
          <w:tcPr>
            <w:tcW w:w="1129" w:type="dxa"/>
            <w:shd w:val="clear" w:color="auto" w:fill="D9E2F3" w:themeFill="accent1" w:themeFillTint="33"/>
            <w:tcMar>
              <w:top w:w="120" w:type="dxa"/>
              <w:left w:w="180" w:type="dxa"/>
              <w:bottom w:w="120" w:type="dxa"/>
              <w:right w:w="180" w:type="dxa"/>
            </w:tcMar>
            <w:hideMark/>
          </w:tcPr>
          <w:p w14:paraId="0C466D47"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C466D48" w14:textId="77777777" w:rsidR="007C44A2" w:rsidRDefault="00402097">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0C466D49"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Ulangi pertanyaan yang ditunjukkan.</w:t>
            </w:r>
          </w:p>
        </w:tc>
      </w:tr>
      <w:tr w:rsidR="007C44A2" w14:paraId="0C466D4E" w14:textId="77777777">
        <w:tc>
          <w:tcPr>
            <w:tcW w:w="1129" w:type="dxa"/>
            <w:shd w:val="clear" w:color="auto" w:fill="D9E2F3" w:themeFill="accent1" w:themeFillTint="33"/>
            <w:tcMar>
              <w:top w:w="120" w:type="dxa"/>
              <w:left w:w="180" w:type="dxa"/>
              <w:bottom w:w="120" w:type="dxa"/>
              <w:right w:w="180" w:type="dxa"/>
            </w:tcMar>
          </w:tcPr>
          <w:p w14:paraId="0C466D4B"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0C466D4C" w14:textId="77777777" w:rsidR="007C44A2" w:rsidRDefault="00402097">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0C466D4D"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Menu</w:t>
            </w:r>
          </w:p>
        </w:tc>
      </w:tr>
      <w:tr w:rsidR="007C44A2" w14:paraId="0C466D52" w14:textId="77777777">
        <w:tc>
          <w:tcPr>
            <w:tcW w:w="1129" w:type="dxa"/>
            <w:shd w:val="clear" w:color="auto" w:fill="D9E2F3" w:themeFill="accent1" w:themeFillTint="33"/>
            <w:tcMar>
              <w:top w:w="120" w:type="dxa"/>
              <w:left w:w="180" w:type="dxa"/>
              <w:bottom w:w="120" w:type="dxa"/>
              <w:right w:w="180" w:type="dxa"/>
            </w:tcMar>
          </w:tcPr>
          <w:p w14:paraId="0C466D4F"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C466D50" w14:textId="77777777" w:rsidR="007C44A2" w:rsidRDefault="00402097">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0C466D51"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Tinjauan</w:t>
            </w:r>
          </w:p>
        </w:tc>
      </w:tr>
      <w:tr w:rsidR="007C44A2" w14:paraId="0C466D56" w14:textId="77777777">
        <w:tc>
          <w:tcPr>
            <w:tcW w:w="1129" w:type="dxa"/>
            <w:shd w:val="clear" w:color="auto" w:fill="D9E2F3" w:themeFill="accent1" w:themeFillTint="33"/>
            <w:tcMar>
              <w:top w:w="120" w:type="dxa"/>
              <w:left w:w="180" w:type="dxa"/>
              <w:bottom w:w="120" w:type="dxa"/>
              <w:right w:w="180" w:type="dxa"/>
            </w:tcMar>
          </w:tcPr>
          <w:p w14:paraId="0C466D53" w14:textId="77777777" w:rsidR="007C44A2" w:rsidRDefault="00402097">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0C466D54" w14:textId="77777777" w:rsidR="007C44A2" w:rsidRDefault="00402097">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0C466D55" w14:textId="77777777" w:rsidR="007C44A2" w:rsidRDefault="00402097">
            <w:pPr>
              <w:spacing w:before="30" w:after="30"/>
              <w:ind w:left="30" w:right="30"/>
              <w:rPr>
                <w:rFonts w:ascii="Calibri" w:eastAsia="Times New Roman" w:hAnsi="Calibri" w:cs="Calibri"/>
                <w:lang w:val="en-US"/>
              </w:rPr>
            </w:pPr>
            <w:r>
              <w:rPr>
                <w:rFonts w:ascii="Calibri" w:eastAsia="Calibri" w:hAnsi="Calibri" w:cs="Calibri"/>
                <w:lang w:val="id-ID"/>
              </w:rPr>
              <w:t>Ulangi</w:t>
            </w:r>
          </w:p>
        </w:tc>
      </w:tr>
    </w:tbl>
    <w:p w14:paraId="0C466D57" w14:textId="77777777" w:rsidR="007C44A2" w:rsidRDefault="007C44A2">
      <w:pPr>
        <w:rPr>
          <w:rFonts w:eastAsia="Times New Roman"/>
          <w:lang w:val="en-IE"/>
        </w:rPr>
      </w:pPr>
    </w:p>
    <w:sectPr w:rsidR="007C44A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4A2"/>
    <w:rsid w:val="00402097"/>
    <w:rsid w:val="007C44A2"/>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66AD3"/>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402097"/>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4257</Words>
  <Characters>24270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2023-03-09T12:04:00Z</dcterms:modified>
</cp:coreProperties>
</file>