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C12BEE" w:rsidRPr="0075571B" w14:paraId="1D18E11A" w14:textId="77777777" w:rsidTr="00262436">
        <w:tc>
          <w:tcPr>
            <w:tcW w:w="1129" w:type="dxa"/>
            <w:shd w:val="clear" w:color="auto" w:fill="F4B083" w:themeFill="accent2" w:themeFillTint="99"/>
            <w:tcMar>
              <w:top w:w="120" w:type="dxa"/>
              <w:left w:w="180" w:type="dxa"/>
              <w:bottom w:w="120" w:type="dxa"/>
              <w:right w:w="180" w:type="dxa"/>
            </w:tcMar>
          </w:tcPr>
          <w:p w14:paraId="030CA4BC" w14:textId="1A76C4AB" w:rsidR="00262436" w:rsidRPr="0075571B" w:rsidRDefault="0075571B" w:rsidP="00262436">
            <w:pPr>
              <w:spacing w:before="30" w:after="30"/>
              <w:ind w:left="30" w:right="30"/>
              <w:jc w:val="center"/>
              <w:rPr>
                <w:rFonts w:ascii="Calibri" w:eastAsia="Times New Roman" w:hAnsi="Calibri" w:cs="Calibri"/>
                <w:lang w:val="en-US"/>
              </w:rPr>
            </w:pPr>
            <w:r w:rsidRPr="0075571B">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171869A9" w14:textId="0E151BA0" w:rsidR="00262436" w:rsidRPr="0075571B" w:rsidRDefault="0075571B" w:rsidP="00262436">
            <w:pPr>
              <w:spacing w:before="30" w:after="30"/>
              <w:ind w:left="30" w:right="30"/>
              <w:jc w:val="center"/>
              <w:rPr>
                <w:rFonts w:ascii="Calibri" w:eastAsia="Times New Roman" w:hAnsi="Calibri" w:cs="Calibri"/>
                <w:lang w:val="en-US"/>
              </w:rPr>
            </w:pPr>
            <w:r w:rsidRPr="0075571B">
              <w:rPr>
                <w:rFonts w:ascii="Calibri" w:eastAsia="Times New Roman" w:hAnsi="Calibri" w:cs="Calibri"/>
                <w:lang w:val="en-US"/>
              </w:rPr>
              <w:t>Source</w:t>
            </w:r>
          </w:p>
        </w:tc>
        <w:tc>
          <w:tcPr>
            <w:tcW w:w="6000" w:type="dxa"/>
            <w:shd w:val="clear" w:color="auto" w:fill="F4B083" w:themeFill="accent2" w:themeFillTint="99"/>
          </w:tcPr>
          <w:p w14:paraId="1E9A3611" w14:textId="615B989C" w:rsidR="00262436" w:rsidRPr="0075571B" w:rsidRDefault="0075571B" w:rsidP="00262436">
            <w:pPr>
              <w:spacing w:before="30" w:after="30"/>
              <w:ind w:left="30" w:right="30"/>
              <w:jc w:val="center"/>
              <w:rPr>
                <w:rFonts w:ascii="Calibri" w:eastAsia="Times New Roman" w:hAnsi="Calibri" w:cs="Calibri"/>
                <w:lang w:val="en-US"/>
              </w:rPr>
            </w:pPr>
            <w:r w:rsidRPr="0075571B">
              <w:rPr>
                <w:rFonts w:ascii="Calibri" w:eastAsia="Times New Roman" w:hAnsi="Calibri" w:cs="Calibri"/>
                <w:lang w:val="en-US"/>
              </w:rPr>
              <w:t>Target</w:t>
            </w:r>
          </w:p>
        </w:tc>
      </w:tr>
      <w:tr w:rsidR="00C12BEE" w:rsidRPr="0075571B" w14:paraId="1818B8AF" w14:textId="77777777" w:rsidTr="00132601">
        <w:tc>
          <w:tcPr>
            <w:tcW w:w="1129" w:type="dxa"/>
            <w:shd w:val="clear" w:color="auto" w:fill="D9E2F3" w:themeFill="accent1" w:themeFillTint="33"/>
            <w:tcMar>
              <w:top w:w="120" w:type="dxa"/>
              <w:left w:w="180" w:type="dxa"/>
              <w:bottom w:w="120" w:type="dxa"/>
              <w:right w:w="180" w:type="dxa"/>
            </w:tcMar>
            <w:hideMark/>
          </w:tcPr>
          <w:p w14:paraId="3847AFCB"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312FCC60"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Conflicts of Interest</w:t>
            </w:r>
          </w:p>
        </w:tc>
        <w:tc>
          <w:tcPr>
            <w:tcW w:w="6000" w:type="dxa"/>
            <w:vAlign w:val="center"/>
          </w:tcPr>
          <w:p w14:paraId="11C044B6" w14:textId="3E379015"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w:t>
            </w:r>
          </w:p>
        </w:tc>
      </w:tr>
      <w:tr w:rsidR="00C12BEE" w:rsidRPr="0075571B" w14:paraId="4E4EB267" w14:textId="77777777" w:rsidTr="00132601">
        <w:tc>
          <w:tcPr>
            <w:tcW w:w="1129" w:type="dxa"/>
            <w:shd w:val="clear" w:color="auto" w:fill="D9E2F3" w:themeFill="accent1" w:themeFillTint="33"/>
            <w:tcMar>
              <w:top w:w="120" w:type="dxa"/>
              <w:left w:w="180" w:type="dxa"/>
              <w:bottom w:w="120" w:type="dxa"/>
              <w:right w:w="180" w:type="dxa"/>
            </w:tcMar>
            <w:hideMark/>
          </w:tcPr>
          <w:p w14:paraId="0771DEC1"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367B4909"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Click the forward arrow to begin.</w:t>
            </w:r>
          </w:p>
        </w:tc>
        <w:tc>
          <w:tcPr>
            <w:tcW w:w="6000" w:type="dxa"/>
            <w:vAlign w:val="center"/>
          </w:tcPr>
          <w:p w14:paraId="32ADBD94" w14:textId="749F5DDA"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次への矢印をクリックして始めてください。</w:t>
            </w:r>
          </w:p>
        </w:tc>
      </w:tr>
      <w:tr w:rsidR="00C12BEE" w:rsidRPr="0075571B" w14:paraId="3F950B19" w14:textId="77777777" w:rsidTr="00132601">
        <w:tc>
          <w:tcPr>
            <w:tcW w:w="1129" w:type="dxa"/>
            <w:shd w:val="clear" w:color="auto" w:fill="D9E2F3" w:themeFill="accent1" w:themeFillTint="33"/>
            <w:tcMar>
              <w:top w:w="120" w:type="dxa"/>
              <w:left w:w="180" w:type="dxa"/>
              <w:bottom w:w="120" w:type="dxa"/>
              <w:right w:w="180" w:type="dxa"/>
            </w:tcMar>
            <w:hideMark/>
          </w:tcPr>
          <w:p w14:paraId="3C1EF8E1"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0B3E92F4"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MENU</w:t>
            </w:r>
          </w:p>
        </w:tc>
        <w:tc>
          <w:tcPr>
            <w:tcW w:w="6000" w:type="dxa"/>
            <w:vAlign w:val="center"/>
          </w:tcPr>
          <w:p w14:paraId="7A984B7E" w14:textId="20E06770"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メニュー</w:t>
            </w:r>
          </w:p>
        </w:tc>
      </w:tr>
      <w:tr w:rsidR="00C12BEE" w:rsidRPr="0075571B" w14:paraId="096F7942" w14:textId="77777777" w:rsidTr="00132601">
        <w:tc>
          <w:tcPr>
            <w:tcW w:w="1129" w:type="dxa"/>
            <w:shd w:val="clear" w:color="auto" w:fill="D9E2F3" w:themeFill="accent1" w:themeFillTint="33"/>
            <w:tcMar>
              <w:top w:w="120" w:type="dxa"/>
              <w:left w:w="180" w:type="dxa"/>
              <w:bottom w:w="120" w:type="dxa"/>
              <w:right w:w="180" w:type="dxa"/>
            </w:tcMar>
            <w:hideMark/>
          </w:tcPr>
          <w:p w14:paraId="53D78E54" w14:textId="77777777" w:rsidR="00B4426F" w:rsidRPr="0075571B" w:rsidRDefault="0075571B" w:rsidP="00B4426F">
            <w:pPr>
              <w:spacing w:before="30" w:after="30"/>
              <w:ind w:left="30" w:right="30"/>
              <w:rPr>
                <w:rFonts w:ascii="Calibri" w:eastAsia="Times New Roman" w:hAnsi="Calibri" w:cs="Calibri"/>
                <w:sz w:val="16"/>
                <w:highlight w:val="yellow"/>
                <w:lang w:val="en-US"/>
              </w:rPr>
            </w:pPr>
            <w:r w:rsidRPr="0075571B">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0F7C1AF7" w14:textId="60BF4FF3" w:rsidR="00B4426F" w:rsidRPr="0075571B" w:rsidRDefault="0075571B" w:rsidP="00B4426F">
            <w:pPr>
              <w:spacing w:before="30" w:after="30"/>
              <w:ind w:left="30" w:right="30"/>
              <w:rPr>
                <w:rFonts w:ascii="Calibri" w:eastAsia="Times New Roman" w:hAnsi="Calibri" w:cs="Calibri"/>
                <w:lang w:val="en-US"/>
              </w:rPr>
            </w:pPr>
            <w:r w:rsidRPr="0075571B">
              <w:rPr>
                <w:rFonts w:ascii="Calibri" w:hAnsi="Calibri" w:cs="Calibri"/>
                <w:lang w:val="en-IE"/>
              </w:rPr>
              <w:t xml:space="preserve">1 | </w:t>
            </w:r>
            <w:r w:rsidRPr="0075571B">
              <w:rPr>
                <w:rFonts w:ascii="Calibri" w:eastAsia="Times New Roman" w:hAnsi="Calibri" w:cs="Calibri"/>
                <w:lang w:val="en-US"/>
              </w:rPr>
              <w:t>The Impact of Conflicts of Interest</w:t>
            </w:r>
          </w:p>
        </w:tc>
        <w:tc>
          <w:tcPr>
            <w:tcW w:w="6000" w:type="dxa"/>
            <w:vAlign w:val="center"/>
          </w:tcPr>
          <w:p w14:paraId="27231F2B" w14:textId="5BECF540"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IE" w:eastAsia="ja-JP"/>
              </w:rPr>
              <w:t>1 | 利益相反が及ぼす影響</w:t>
            </w:r>
          </w:p>
        </w:tc>
      </w:tr>
      <w:tr w:rsidR="00C12BEE" w:rsidRPr="0075571B" w14:paraId="18720AC2" w14:textId="77777777" w:rsidTr="00132601">
        <w:tc>
          <w:tcPr>
            <w:tcW w:w="1129" w:type="dxa"/>
            <w:shd w:val="clear" w:color="auto" w:fill="D9E2F3" w:themeFill="accent1" w:themeFillTint="33"/>
            <w:tcMar>
              <w:top w:w="120" w:type="dxa"/>
              <w:left w:w="180" w:type="dxa"/>
              <w:bottom w:w="120" w:type="dxa"/>
              <w:right w:w="180" w:type="dxa"/>
            </w:tcMar>
          </w:tcPr>
          <w:p w14:paraId="3984955E" w14:textId="7A5839BB"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2E63164F" w14:textId="6FF371B2" w:rsidR="00B4426F" w:rsidRPr="0075571B" w:rsidRDefault="0075571B" w:rsidP="00B4426F">
            <w:pPr>
              <w:spacing w:before="30" w:after="30"/>
              <w:ind w:left="30" w:right="30"/>
              <w:rPr>
                <w:rFonts w:ascii="Calibri" w:eastAsia="Times New Roman" w:hAnsi="Calibri" w:cs="Calibri"/>
                <w:lang w:val="en-US"/>
              </w:rPr>
            </w:pPr>
            <w:r w:rsidRPr="0075571B">
              <w:rPr>
                <w:rFonts w:ascii="Calibri" w:hAnsi="Calibri" w:cs="Calibri"/>
                <w:lang w:val="en-IE"/>
              </w:rPr>
              <w:t xml:space="preserve">Section 1 | </w:t>
            </w:r>
            <w:r w:rsidRPr="0075571B">
              <w:rPr>
                <w:rFonts w:ascii="Calibri" w:eastAsia="Times New Roman" w:hAnsi="Calibri" w:cs="Calibri"/>
                <w:lang w:val="en-US"/>
              </w:rPr>
              <w:t>The Impact of Conflicts of Interest</w:t>
            </w:r>
          </w:p>
        </w:tc>
        <w:tc>
          <w:tcPr>
            <w:tcW w:w="6000" w:type="dxa"/>
            <w:vAlign w:val="center"/>
          </w:tcPr>
          <w:p w14:paraId="2A5BA267" w14:textId="2C896F9E"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IE" w:eastAsia="ja-JP"/>
              </w:rPr>
              <w:t>セクション1 | 利益相反が及ぼす影響</w:t>
            </w:r>
          </w:p>
        </w:tc>
      </w:tr>
      <w:tr w:rsidR="00C12BEE" w:rsidRPr="0075571B" w14:paraId="7CAB019B" w14:textId="77777777" w:rsidTr="00132601">
        <w:tc>
          <w:tcPr>
            <w:tcW w:w="1129" w:type="dxa"/>
            <w:shd w:val="clear" w:color="auto" w:fill="D9E2F3" w:themeFill="accent1" w:themeFillTint="33"/>
            <w:tcMar>
              <w:top w:w="120" w:type="dxa"/>
              <w:left w:w="180" w:type="dxa"/>
              <w:bottom w:w="120" w:type="dxa"/>
              <w:right w:w="180" w:type="dxa"/>
            </w:tcMar>
            <w:hideMark/>
          </w:tcPr>
          <w:p w14:paraId="148B9B24"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4ACB7677"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Here you will learn what a conflict of interest is and why avoiding conflicts of interest matter.</w:t>
            </w:r>
          </w:p>
        </w:tc>
        <w:tc>
          <w:tcPr>
            <w:tcW w:w="6000" w:type="dxa"/>
            <w:vAlign w:val="center"/>
          </w:tcPr>
          <w:p w14:paraId="7A8C8A85" w14:textId="2F8BD24C"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ここでは、利益相反とは何か、またなぜ利益相反を回避することが重要なのかについて学習します。</w:t>
            </w:r>
          </w:p>
        </w:tc>
      </w:tr>
      <w:tr w:rsidR="00C12BEE" w:rsidRPr="0075571B" w14:paraId="4E014DBD" w14:textId="77777777" w:rsidTr="00132601">
        <w:tc>
          <w:tcPr>
            <w:tcW w:w="1129" w:type="dxa"/>
            <w:shd w:val="clear" w:color="auto" w:fill="D9E2F3" w:themeFill="accent1" w:themeFillTint="33"/>
            <w:tcMar>
              <w:top w:w="120" w:type="dxa"/>
              <w:left w:w="180" w:type="dxa"/>
              <w:bottom w:w="120" w:type="dxa"/>
              <w:right w:w="180" w:type="dxa"/>
            </w:tcMar>
            <w:hideMark/>
          </w:tcPr>
          <w:p w14:paraId="476989B9"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36D56622"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3 minutes</w:t>
            </w:r>
          </w:p>
        </w:tc>
        <w:tc>
          <w:tcPr>
            <w:tcW w:w="6000" w:type="dxa"/>
            <w:vAlign w:val="center"/>
          </w:tcPr>
          <w:p w14:paraId="33BBFDB8" w14:textId="220F758B"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3分</w:t>
            </w:r>
          </w:p>
        </w:tc>
      </w:tr>
      <w:tr w:rsidR="00C12BEE" w:rsidRPr="0075571B" w14:paraId="0FAB7E75" w14:textId="77777777" w:rsidTr="00132601">
        <w:tc>
          <w:tcPr>
            <w:tcW w:w="1129" w:type="dxa"/>
            <w:shd w:val="clear" w:color="auto" w:fill="D9E2F3" w:themeFill="accent1" w:themeFillTint="33"/>
            <w:tcMar>
              <w:top w:w="120" w:type="dxa"/>
              <w:left w:w="180" w:type="dxa"/>
              <w:bottom w:w="120" w:type="dxa"/>
              <w:right w:w="180" w:type="dxa"/>
            </w:tcMar>
            <w:hideMark/>
          </w:tcPr>
          <w:p w14:paraId="231039F5"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408C2DDE"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Conflicts of Interest Defined</w:t>
            </w:r>
          </w:p>
        </w:tc>
        <w:tc>
          <w:tcPr>
            <w:tcW w:w="6000" w:type="dxa"/>
            <w:vAlign w:val="center"/>
          </w:tcPr>
          <w:p w14:paraId="5CC86A86" w14:textId="461D175C"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利益相反の定義</w:t>
            </w:r>
          </w:p>
        </w:tc>
      </w:tr>
      <w:tr w:rsidR="00C12BEE" w:rsidRPr="0075571B" w14:paraId="018D28EB" w14:textId="77777777" w:rsidTr="00132601">
        <w:tc>
          <w:tcPr>
            <w:tcW w:w="1129" w:type="dxa"/>
            <w:shd w:val="clear" w:color="auto" w:fill="D9E2F3" w:themeFill="accent1" w:themeFillTint="33"/>
            <w:tcMar>
              <w:top w:w="120" w:type="dxa"/>
              <w:left w:w="180" w:type="dxa"/>
              <w:bottom w:w="120" w:type="dxa"/>
              <w:right w:w="180" w:type="dxa"/>
            </w:tcMar>
            <w:hideMark/>
          </w:tcPr>
          <w:p w14:paraId="411F17EF"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60E605F6"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Why Avoiding Conflicts of Interest Matters</w:t>
            </w:r>
          </w:p>
        </w:tc>
        <w:tc>
          <w:tcPr>
            <w:tcW w:w="6000" w:type="dxa"/>
            <w:vAlign w:val="center"/>
          </w:tcPr>
          <w:p w14:paraId="737F9BE9" w14:textId="6515F14C"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なぜ利益相反を回避することが重要なのか</w:t>
            </w:r>
          </w:p>
        </w:tc>
      </w:tr>
      <w:tr w:rsidR="00C12BEE" w:rsidRPr="0075571B" w14:paraId="618E42DA" w14:textId="77777777" w:rsidTr="00132601">
        <w:tc>
          <w:tcPr>
            <w:tcW w:w="1129" w:type="dxa"/>
            <w:shd w:val="clear" w:color="auto" w:fill="D9E2F3" w:themeFill="accent1" w:themeFillTint="33"/>
            <w:tcMar>
              <w:top w:w="120" w:type="dxa"/>
              <w:left w:w="180" w:type="dxa"/>
              <w:bottom w:w="120" w:type="dxa"/>
              <w:right w:w="180" w:type="dxa"/>
            </w:tcMar>
            <w:hideMark/>
          </w:tcPr>
          <w:p w14:paraId="1F6768CF"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5D2C91D5"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Review</w:t>
            </w:r>
          </w:p>
        </w:tc>
        <w:tc>
          <w:tcPr>
            <w:tcW w:w="6000" w:type="dxa"/>
            <w:vAlign w:val="center"/>
          </w:tcPr>
          <w:p w14:paraId="11E38C69" w14:textId="15D6D863"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確認</w:t>
            </w:r>
          </w:p>
        </w:tc>
      </w:tr>
      <w:tr w:rsidR="00C12BEE" w:rsidRPr="0075571B" w14:paraId="29CA9656" w14:textId="77777777" w:rsidTr="00132601">
        <w:tc>
          <w:tcPr>
            <w:tcW w:w="1129" w:type="dxa"/>
            <w:shd w:val="clear" w:color="auto" w:fill="D9E2F3" w:themeFill="accent1" w:themeFillTint="33"/>
            <w:tcMar>
              <w:top w:w="120" w:type="dxa"/>
              <w:left w:w="180" w:type="dxa"/>
              <w:bottom w:w="120" w:type="dxa"/>
              <w:right w:w="180" w:type="dxa"/>
            </w:tcMar>
            <w:hideMark/>
          </w:tcPr>
          <w:p w14:paraId="29A79391"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1CD4EA82" w14:textId="6BC517EC"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2 | Types of Conflicts of Interest</w:t>
            </w:r>
          </w:p>
        </w:tc>
        <w:tc>
          <w:tcPr>
            <w:tcW w:w="6000" w:type="dxa"/>
            <w:vAlign w:val="center"/>
          </w:tcPr>
          <w:p w14:paraId="2F3545FC" w14:textId="6E381764"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2 | 利益相反の種類</w:t>
            </w:r>
          </w:p>
        </w:tc>
      </w:tr>
      <w:tr w:rsidR="00C12BEE" w:rsidRPr="0075571B" w14:paraId="0EEACC02" w14:textId="77777777" w:rsidTr="00132601">
        <w:tc>
          <w:tcPr>
            <w:tcW w:w="1129" w:type="dxa"/>
            <w:shd w:val="clear" w:color="auto" w:fill="D9E2F3" w:themeFill="accent1" w:themeFillTint="33"/>
            <w:tcMar>
              <w:top w:w="120" w:type="dxa"/>
              <w:left w:w="180" w:type="dxa"/>
              <w:bottom w:w="120" w:type="dxa"/>
              <w:right w:w="180" w:type="dxa"/>
            </w:tcMar>
          </w:tcPr>
          <w:p w14:paraId="76D97831" w14:textId="17FE498B"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0FE4E84A" w14:textId="7839BDD9"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Section 2 | Types of Conflicts of Interest</w:t>
            </w:r>
          </w:p>
        </w:tc>
        <w:tc>
          <w:tcPr>
            <w:tcW w:w="6000" w:type="dxa"/>
            <w:vAlign w:val="center"/>
          </w:tcPr>
          <w:p w14:paraId="5BB020E5" w14:textId="78E657D4"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セクション2 | 利益相反の種類</w:t>
            </w:r>
          </w:p>
        </w:tc>
      </w:tr>
      <w:tr w:rsidR="00C12BEE" w:rsidRPr="0075571B" w14:paraId="41287513" w14:textId="77777777" w:rsidTr="00132601">
        <w:tc>
          <w:tcPr>
            <w:tcW w:w="1129" w:type="dxa"/>
            <w:shd w:val="clear" w:color="auto" w:fill="D9E2F3" w:themeFill="accent1" w:themeFillTint="33"/>
            <w:tcMar>
              <w:top w:w="120" w:type="dxa"/>
              <w:left w:w="180" w:type="dxa"/>
              <w:bottom w:w="120" w:type="dxa"/>
              <w:right w:w="180" w:type="dxa"/>
            </w:tcMar>
            <w:hideMark/>
          </w:tcPr>
          <w:p w14:paraId="5BF62726"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0D48C8B4"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Here you will learn how to recognize and resolve different types of conflicts of interest.</w:t>
            </w:r>
          </w:p>
        </w:tc>
        <w:tc>
          <w:tcPr>
            <w:tcW w:w="6000" w:type="dxa"/>
            <w:vAlign w:val="center"/>
          </w:tcPr>
          <w:p w14:paraId="3C486A72" w14:textId="37C44DA3"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ここでは、異なる種類の利益相反を認識し、解決する方法について学習します。</w:t>
            </w:r>
          </w:p>
        </w:tc>
      </w:tr>
      <w:tr w:rsidR="00C12BEE" w:rsidRPr="0075571B" w14:paraId="4A94D395" w14:textId="77777777" w:rsidTr="00132601">
        <w:tc>
          <w:tcPr>
            <w:tcW w:w="1129" w:type="dxa"/>
            <w:shd w:val="clear" w:color="auto" w:fill="D9E2F3" w:themeFill="accent1" w:themeFillTint="33"/>
            <w:tcMar>
              <w:top w:w="120" w:type="dxa"/>
              <w:left w:w="180" w:type="dxa"/>
              <w:bottom w:w="120" w:type="dxa"/>
              <w:right w:w="180" w:type="dxa"/>
            </w:tcMar>
            <w:hideMark/>
          </w:tcPr>
          <w:p w14:paraId="482035B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16B88E56"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12 minutes</w:t>
            </w:r>
          </w:p>
        </w:tc>
        <w:tc>
          <w:tcPr>
            <w:tcW w:w="6000" w:type="dxa"/>
            <w:vAlign w:val="center"/>
          </w:tcPr>
          <w:p w14:paraId="41393436" w14:textId="00E3362B"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12分</w:t>
            </w:r>
          </w:p>
        </w:tc>
      </w:tr>
      <w:tr w:rsidR="00C12BEE" w:rsidRPr="0075571B" w14:paraId="21239DFF" w14:textId="77777777" w:rsidTr="00132601">
        <w:tc>
          <w:tcPr>
            <w:tcW w:w="1129" w:type="dxa"/>
            <w:shd w:val="clear" w:color="auto" w:fill="D9E2F3" w:themeFill="accent1" w:themeFillTint="33"/>
            <w:tcMar>
              <w:top w:w="120" w:type="dxa"/>
              <w:left w:w="180" w:type="dxa"/>
              <w:bottom w:w="120" w:type="dxa"/>
              <w:right w:w="180" w:type="dxa"/>
            </w:tcMar>
            <w:hideMark/>
          </w:tcPr>
          <w:p w14:paraId="4A85DE69"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0CB22F79"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Financial Interests</w:t>
            </w:r>
          </w:p>
        </w:tc>
        <w:tc>
          <w:tcPr>
            <w:tcW w:w="6000" w:type="dxa"/>
            <w:vAlign w:val="center"/>
          </w:tcPr>
          <w:p w14:paraId="2AD3F9D1" w14:textId="27A1BBD5"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財務上の利害</w:t>
            </w:r>
          </w:p>
        </w:tc>
      </w:tr>
      <w:tr w:rsidR="00C12BEE" w:rsidRPr="0075571B" w14:paraId="695A4A22" w14:textId="77777777" w:rsidTr="00132601">
        <w:tc>
          <w:tcPr>
            <w:tcW w:w="1129" w:type="dxa"/>
            <w:shd w:val="clear" w:color="auto" w:fill="D9E2F3" w:themeFill="accent1" w:themeFillTint="33"/>
            <w:tcMar>
              <w:top w:w="120" w:type="dxa"/>
              <w:left w:w="180" w:type="dxa"/>
              <w:bottom w:w="120" w:type="dxa"/>
              <w:right w:w="180" w:type="dxa"/>
            </w:tcMar>
            <w:hideMark/>
          </w:tcPr>
          <w:p w14:paraId="6E70F5A8"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7E8D2CCE"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Family Members</w:t>
            </w:r>
          </w:p>
        </w:tc>
        <w:tc>
          <w:tcPr>
            <w:tcW w:w="6000" w:type="dxa"/>
            <w:vAlign w:val="center"/>
          </w:tcPr>
          <w:p w14:paraId="08FCE7EE" w14:textId="02AF944E"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親族</w:t>
            </w:r>
          </w:p>
        </w:tc>
      </w:tr>
      <w:tr w:rsidR="00C12BEE" w:rsidRPr="0075571B" w14:paraId="766FE089" w14:textId="77777777" w:rsidTr="00132601">
        <w:tc>
          <w:tcPr>
            <w:tcW w:w="1129" w:type="dxa"/>
            <w:shd w:val="clear" w:color="auto" w:fill="D9E2F3" w:themeFill="accent1" w:themeFillTint="33"/>
            <w:tcMar>
              <w:top w:w="120" w:type="dxa"/>
              <w:left w:w="180" w:type="dxa"/>
              <w:bottom w:w="120" w:type="dxa"/>
              <w:right w:w="180" w:type="dxa"/>
            </w:tcMar>
            <w:hideMark/>
          </w:tcPr>
          <w:p w14:paraId="47DAEECA"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35079F90"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Gifts, Payments, and Other Inducements</w:t>
            </w:r>
          </w:p>
        </w:tc>
        <w:tc>
          <w:tcPr>
            <w:tcW w:w="6000" w:type="dxa"/>
            <w:vAlign w:val="center"/>
          </w:tcPr>
          <w:p w14:paraId="00812B89" w14:textId="24D91C9D"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贈り物、支払い、その他の誘因報酬</w:t>
            </w:r>
          </w:p>
        </w:tc>
      </w:tr>
      <w:tr w:rsidR="00C12BEE" w:rsidRPr="0075571B" w14:paraId="24F7334B" w14:textId="77777777" w:rsidTr="00132601">
        <w:tc>
          <w:tcPr>
            <w:tcW w:w="1129" w:type="dxa"/>
            <w:shd w:val="clear" w:color="auto" w:fill="D9E2F3" w:themeFill="accent1" w:themeFillTint="33"/>
            <w:tcMar>
              <w:top w:w="120" w:type="dxa"/>
              <w:left w:w="180" w:type="dxa"/>
              <w:bottom w:w="120" w:type="dxa"/>
              <w:right w:w="180" w:type="dxa"/>
            </w:tcMar>
            <w:hideMark/>
          </w:tcPr>
          <w:p w14:paraId="3D05E9B2"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26E335B2"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Corporate Opportunities</w:t>
            </w:r>
          </w:p>
        </w:tc>
        <w:tc>
          <w:tcPr>
            <w:tcW w:w="6000" w:type="dxa"/>
            <w:vAlign w:val="center"/>
          </w:tcPr>
          <w:p w14:paraId="758FB3F2" w14:textId="382B6B92"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会社の機会</w:t>
            </w:r>
          </w:p>
        </w:tc>
      </w:tr>
      <w:tr w:rsidR="00C12BEE" w:rsidRPr="0075571B" w14:paraId="57B27D0D" w14:textId="77777777" w:rsidTr="00132601">
        <w:tc>
          <w:tcPr>
            <w:tcW w:w="1129" w:type="dxa"/>
            <w:shd w:val="clear" w:color="auto" w:fill="D9E2F3" w:themeFill="accent1" w:themeFillTint="33"/>
            <w:tcMar>
              <w:top w:w="120" w:type="dxa"/>
              <w:left w:w="180" w:type="dxa"/>
              <w:bottom w:w="120" w:type="dxa"/>
              <w:right w:w="180" w:type="dxa"/>
            </w:tcMar>
            <w:hideMark/>
          </w:tcPr>
          <w:p w14:paraId="3A7778C6"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14610412"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Outside Employment and Consulting</w:t>
            </w:r>
          </w:p>
        </w:tc>
        <w:tc>
          <w:tcPr>
            <w:tcW w:w="6000" w:type="dxa"/>
            <w:vAlign w:val="center"/>
          </w:tcPr>
          <w:p w14:paraId="68E5EC98" w14:textId="74CA9F88"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副業およびコンサルティング</w:t>
            </w:r>
          </w:p>
        </w:tc>
      </w:tr>
      <w:tr w:rsidR="00C12BEE" w:rsidRPr="0075571B" w14:paraId="1C0A8B82" w14:textId="77777777" w:rsidTr="00132601">
        <w:tc>
          <w:tcPr>
            <w:tcW w:w="1129" w:type="dxa"/>
            <w:shd w:val="clear" w:color="auto" w:fill="D9E2F3" w:themeFill="accent1" w:themeFillTint="33"/>
            <w:tcMar>
              <w:top w:w="120" w:type="dxa"/>
              <w:left w:w="180" w:type="dxa"/>
              <w:bottom w:w="120" w:type="dxa"/>
              <w:right w:w="180" w:type="dxa"/>
            </w:tcMar>
            <w:hideMark/>
          </w:tcPr>
          <w:p w14:paraId="757442E5"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08374FF8"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Serving on Boards or as Officers for Third Parties </w:t>
            </w:r>
          </w:p>
        </w:tc>
        <w:tc>
          <w:tcPr>
            <w:tcW w:w="6000" w:type="dxa"/>
            <w:vAlign w:val="center"/>
          </w:tcPr>
          <w:p w14:paraId="4D038B79" w14:textId="1C5724B0"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 xml:space="preserve">第三者の理事会メンバーまたは役員を務める </w:t>
            </w:r>
          </w:p>
        </w:tc>
      </w:tr>
      <w:tr w:rsidR="00C12BEE" w:rsidRPr="0075571B" w14:paraId="61E63E87" w14:textId="77777777" w:rsidTr="00132601">
        <w:tc>
          <w:tcPr>
            <w:tcW w:w="1129" w:type="dxa"/>
            <w:shd w:val="clear" w:color="auto" w:fill="D9E2F3" w:themeFill="accent1" w:themeFillTint="33"/>
            <w:tcMar>
              <w:top w:w="120" w:type="dxa"/>
              <w:left w:w="180" w:type="dxa"/>
              <w:bottom w:w="120" w:type="dxa"/>
              <w:right w:w="180" w:type="dxa"/>
            </w:tcMar>
            <w:hideMark/>
          </w:tcPr>
          <w:p w14:paraId="5B96B8F1"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4041D0AA"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Review</w:t>
            </w:r>
          </w:p>
        </w:tc>
        <w:tc>
          <w:tcPr>
            <w:tcW w:w="6000" w:type="dxa"/>
            <w:vAlign w:val="center"/>
          </w:tcPr>
          <w:p w14:paraId="37EEDECD" w14:textId="56272637"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確認</w:t>
            </w:r>
          </w:p>
        </w:tc>
      </w:tr>
      <w:tr w:rsidR="00C12BEE" w:rsidRPr="0075571B" w14:paraId="06164BB7" w14:textId="77777777" w:rsidTr="00132601">
        <w:tc>
          <w:tcPr>
            <w:tcW w:w="1129" w:type="dxa"/>
            <w:shd w:val="clear" w:color="auto" w:fill="D9E2F3" w:themeFill="accent1" w:themeFillTint="33"/>
            <w:tcMar>
              <w:top w:w="120" w:type="dxa"/>
              <w:left w:w="180" w:type="dxa"/>
              <w:bottom w:w="120" w:type="dxa"/>
              <w:right w:w="180" w:type="dxa"/>
            </w:tcMar>
            <w:hideMark/>
          </w:tcPr>
          <w:p w14:paraId="58F9BC0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7FAE289C" w14:textId="7EE0EBC9"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3 | Disclosing and Reporting Conflicts of Interest </w:t>
            </w:r>
          </w:p>
        </w:tc>
        <w:tc>
          <w:tcPr>
            <w:tcW w:w="6000" w:type="dxa"/>
            <w:vAlign w:val="center"/>
          </w:tcPr>
          <w:p w14:paraId="5758D5FE" w14:textId="36F1E140"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 xml:space="preserve">3 | 利益相反の開示と報告 </w:t>
            </w:r>
          </w:p>
        </w:tc>
      </w:tr>
      <w:tr w:rsidR="00C12BEE" w:rsidRPr="0075571B" w14:paraId="6715290F" w14:textId="77777777" w:rsidTr="00132601">
        <w:tc>
          <w:tcPr>
            <w:tcW w:w="1129" w:type="dxa"/>
            <w:shd w:val="clear" w:color="auto" w:fill="D9E2F3" w:themeFill="accent1" w:themeFillTint="33"/>
            <w:tcMar>
              <w:top w:w="120" w:type="dxa"/>
              <w:left w:w="180" w:type="dxa"/>
              <w:bottom w:w="120" w:type="dxa"/>
              <w:right w:w="180" w:type="dxa"/>
            </w:tcMar>
          </w:tcPr>
          <w:p w14:paraId="34AAEE99" w14:textId="3B6FA685"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1C903FE5" w14:textId="1369954E"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Section 3 | Disclosing and Reporting Conflicts of Interest</w:t>
            </w:r>
          </w:p>
        </w:tc>
        <w:tc>
          <w:tcPr>
            <w:tcW w:w="6000" w:type="dxa"/>
            <w:vAlign w:val="center"/>
          </w:tcPr>
          <w:p w14:paraId="64F005A3" w14:textId="785B22D9"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セクション3 | 利益相反の開示と報告</w:t>
            </w:r>
          </w:p>
        </w:tc>
      </w:tr>
      <w:tr w:rsidR="00C12BEE" w:rsidRPr="0075571B" w14:paraId="6FE70753" w14:textId="77777777" w:rsidTr="00132601">
        <w:tc>
          <w:tcPr>
            <w:tcW w:w="1129" w:type="dxa"/>
            <w:shd w:val="clear" w:color="auto" w:fill="D9E2F3" w:themeFill="accent1" w:themeFillTint="33"/>
            <w:tcMar>
              <w:top w:w="120" w:type="dxa"/>
              <w:left w:w="180" w:type="dxa"/>
              <w:bottom w:w="120" w:type="dxa"/>
              <w:right w:w="180" w:type="dxa"/>
            </w:tcMar>
            <w:hideMark/>
          </w:tcPr>
          <w:p w14:paraId="2063682D"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20A03EC5"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Here you will learn how to disclose and report conflicts of interest.</w:t>
            </w:r>
          </w:p>
        </w:tc>
        <w:tc>
          <w:tcPr>
            <w:tcW w:w="6000" w:type="dxa"/>
            <w:vAlign w:val="center"/>
          </w:tcPr>
          <w:p w14:paraId="3E94DCCA" w14:textId="5B54CD6D"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ここでは、利益相反の開示と報告について学習します。</w:t>
            </w:r>
          </w:p>
        </w:tc>
      </w:tr>
      <w:tr w:rsidR="00C12BEE" w:rsidRPr="0075571B" w14:paraId="50F97BD3" w14:textId="77777777" w:rsidTr="00132601">
        <w:tc>
          <w:tcPr>
            <w:tcW w:w="1129" w:type="dxa"/>
            <w:shd w:val="clear" w:color="auto" w:fill="D9E2F3" w:themeFill="accent1" w:themeFillTint="33"/>
            <w:tcMar>
              <w:top w:w="120" w:type="dxa"/>
              <w:left w:w="180" w:type="dxa"/>
              <w:bottom w:w="120" w:type="dxa"/>
              <w:right w:w="180" w:type="dxa"/>
            </w:tcMar>
            <w:hideMark/>
          </w:tcPr>
          <w:p w14:paraId="0D10E21B"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5BBEEF76"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6 minutes</w:t>
            </w:r>
          </w:p>
        </w:tc>
        <w:tc>
          <w:tcPr>
            <w:tcW w:w="6000" w:type="dxa"/>
            <w:vAlign w:val="center"/>
          </w:tcPr>
          <w:p w14:paraId="46F570E9" w14:textId="5F59AC55"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6分</w:t>
            </w:r>
          </w:p>
        </w:tc>
      </w:tr>
      <w:tr w:rsidR="00C12BEE" w:rsidRPr="0075571B" w14:paraId="10ECBE19" w14:textId="77777777" w:rsidTr="00132601">
        <w:tc>
          <w:tcPr>
            <w:tcW w:w="1129" w:type="dxa"/>
            <w:shd w:val="clear" w:color="auto" w:fill="D9E2F3" w:themeFill="accent1" w:themeFillTint="33"/>
            <w:tcMar>
              <w:top w:w="120" w:type="dxa"/>
              <w:left w:w="180" w:type="dxa"/>
              <w:bottom w:w="120" w:type="dxa"/>
              <w:right w:w="180" w:type="dxa"/>
            </w:tcMar>
            <w:hideMark/>
          </w:tcPr>
          <w:p w14:paraId="0E103E0C"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20291785"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Disclosing Your Own Conflict of Interest</w:t>
            </w:r>
          </w:p>
        </w:tc>
        <w:tc>
          <w:tcPr>
            <w:tcW w:w="6000" w:type="dxa"/>
            <w:vAlign w:val="center"/>
          </w:tcPr>
          <w:p w14:paraId="637815E4" w14:textId="0E351BA3"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自らの利益相反を開示する</w:t>
            </w:r>
          </w:p>
        </w:tc>
      </w:tr>
      <w:tr w:rsidR="00C12BEE" w:rsidRPr="0075571B" w14:paraId="2BE19E99" w14:textId="77777777" w:rsidTr="00132601">
        <w:tc>
          <w:tcPr>
            <w:tcW w:w="1129" w:type="dxa"/>
            <w:shd w:val="clear" w:color="auto" w:fill="D9E2F3" w:themeFill="accent1" w:themeFillTint="33"/>
            <w:tcMar>
              <w:top w:w="120" w:type="dxa"/>
              <w:left w:w="180" w:type="dxa"/>
              <w:bottom w:w="120" w:type="dxa"/>
              <w:right w:w="180" w:type="dxa"/>
            </w:tcMar>
            <w:hideMark/>
          </w:tcPr>
          <w:p w14:paraId="654578A1"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3531B77E" w14:textId="7092A393"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Reporting Someone Else’s Conflict of Interest</w:t>
            </w:r>
          </w:p>
        </w:tc>
        <w:tc>
          <w:tcPr>
            <w:tcW w:w="6000" w:type="dxa"/>
            <w:vAlign w:val="center"/>
          </w:tcPr>
          <w:p w14:paraId="4F59320B" w14:textId="2671FF21"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他人の利益相反を報告する</w:t>
            </w:r>
          </w:p>
        </w:tc>
      </w:tr>
      <w:tr w:rsidR="00C12BEE" w:rsidRPr="0075571B" w14:paraId="1266DF10" w14:textId="77777777" w:rsidTr="00132601">
        <w:tc>
          <w:tcPr>
            <w:tcW w:w="1129" w:type="dxa"/>
            <w:shd w:val="clear" w:color="auto" w:fill="D9E2F3" w:themeFill="accent1" w:themeFillTint="33"/>
            <w:tcMar>
              <w:top w:w="120" w:type="dxa"/>
              <w:left w:w="180" w:type="dxa"/>
              <w:bottom w:w="120" w:type="dxa"/>
              <w:right w:w="180" w:type="dxa"/>
            </w:tcMar>
            <w:hideMark/>
          </w:tcPr>
          <w:p w14:paraId="098E1BD1"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2BCDD84D"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Annual Conflicts of Interest Certification</w:t>
            </w:r>
          </w:p>
        </w:tc>
        <w:tc>
          <w:tcPr>
            <w:tcW w:w="6000" w:type="dxa"/>
            <w:vAlign w:val="center"/>
          </w:tcPr>
          <w:p w14:paraId="12EFBE5E" w14:textId="7E555054"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年に一度の利益相反証明</w:t>
            </w:r>
          </w:p>
        </w:tc>
      </w:tr>
      <w:tr w:rsidR="00C12BEE" w:rsidRPr="0075571B" w14:paraId="1D3A7E7D" w14:textId="77777777" w:rsidTr="00132601">
        <w:tc>
          <w:tcPr>
            <w:tcW w:w="1129" w:type="dxa"/>
            <w:shd w:val="clear" w:color="auto" w:fill="D9E2F3" w:themeFill="accent1" w:themeFillTint="33"/>
            <w:tcMar>
              <w:top w:w="120" w:type="dxa"/>
              <w:left w:w="180" w:type="dxa"/>
              <w:bottom w:w="120" w:type="dxa"/>
              <w:right w:w="180" w:type="dxa"/>
            </w:tcMar>
            <w:hideMark/>
          </w:tcPr>
          <w:p w14:paraId="0F882429"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74DFE6F9"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Where to Go for Help and Support</w:t>
            </w:r>
          </w:p>
        </w:tc>
        <w:tc>
          <w:tcPr>
            <w:tcW w:w="6000" w:type="dxa"/>
            <w:vAlign w:val="center"/>
          </w:tcPr>
          <w:p w14:paraId="4CACD37F" w14:textId="29F7A153"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ヘルプとサポートへのアクセス方法</w:t>
            </w:r>
          </w:p>
        </w:tc>
      </w:tr>
      <w:tr w:rsidR="00C12BEE" w:rsidRPr="0075571B" w14:paraId="7684F123" w14:textId="77777777" w:rsidTr="00132601">
        <w:tc>
          <w:tcPr>
            <w:tcW w:w="1129" w:type="dxa"/>
            <w:shd w:val="clear" w:color="auto" w:fill="D9E2F3" w:themeFill="accent1" w:themeFillTint="33"/>
            <w:tcMar>
              <w:top w:w="120" w:type="dxa"/>
              <w:left w:w="180" w:type="dxa"/>
              <w:bottom w:w="120" w:type="dxa"/>
              <w:right w:w="180" w:type="dxa"/>
            </w:tcMar>
            <w:hideMark/>
          </w:tcPr>
          <w:p w14:paraId="68134298"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45EEC278"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Review </w:t>
            </w:r>
          </w:p>
        </w:tc>
        <w:tc>
          <w:tcPr>
            <w:tcW w:w="6000" w:type="dxa"/>
            <w:vAlign w:val="center"/>
          </w:tcPr>
          <w:p w14:paraId="73A75C18" w14:textId="1BF4BBE8"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 xml:space="preserve">確認 </w:t>
            </w:r>
          </w:p>
        </w:tc>
      </w:tr>
      <w:tr w:rsidR="00C12BEE" w:rsidRPr="0075571B" w14:paraId="371CE80D" w14:textId="77777777" w:rsidTr="00132601">
        <w:tc>
          <w:tcPr>
            <w:tcW w:w="1129" w:type="dxa"/>
            <w:shd w:val="clear" w:color="auto" w:fill="D9E2F3" w:themeFill="accent1" w:themeFillTint="33"/>
            <w:tcMar>
              <w:top w:w="120" w:type="dxa"/>
              <w:left w:w="180" w:type="dxa"/>
              <w:bottom w:w="120" w:type="dxa"/>
              <w:right w:w="180" w:type="dxa"/>
            </w:tcMar>
            <w:hideMark/>
          </w:tcPr>
          <w:p w14:paraId="6523C59F"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286152FC" w14:textId="7F1DEBEC"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4 | Knowledge Check</w:t>
            </w:r>
          </w:p>
        </w:tc>
        <w:tc>
          <w:tcPr>
            <w:tcW w:w="6000" w:type="dxa"/>
            <w:vAlign w:val="center"/>
          </w:tcPr>
          <w:p w14:paraId="38B94871" w14:textId="16D96317"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4 | 理解度チェック</w:t>
            </w:r>
          </w:p>
        </w:tc>
      </w:tr>
      <w:tr w:rsidR="00C12BEE" w:rsidRPr="0075571B" w14:paraId="675B8F60" w14:textId="77777777" w:rsidTr="00132601">
        <w:tc>
          <w:tcPr>
            <w:tcW w:w="1129" w:type="dxa"/>
            <w:shd w:val="clear" w:color="auto" w:fill="D9E2F3" w:themeFill="accent1" w:themeFillTint="33"/>
            <w:tcMar>
              <w:top w:w="120" w:type="dxa"/>
              <w:left w:w="180" w:type="dxa"/>
              <w:bottom w:w="120" w:type="dxa"/>
              <w:right w:w="180" w:type="dxa"/>
            </w:tcMar>
          </w:tcPr>
          <w:p w14:paraId="1B852423" w14:textId="185102F4"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5DC802BE" w14:textId="11AB59D0"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Section 4 | Knowledge Check</w:t>
            </w:r>
          </w:p>
        </w:tc>
        <w:tc>
          <w:tcPr>
            <w:tcW w:w="6000" w:type="dxa"/>
            <w:vAlign w:val="center"/>
          </w:tcPr>
          <w:p w14:paraId="5D1E1D6C" w14:textId="2CBB187D"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セクション 4 | 理解度チェック</w:t>
            </w:r>
          </w:p>
        </w:tc>
      </w:tr>
      <w:tr w:rsidR="00C12BEE" w:rsidRPr="0075571B" w14:paraId="24404F2B" w14:textId="77777777" w:rsidTr="00132601">
        <w:tc>
          <w:tcPr>
            <w:tcW w:w="1129" w:type="dxa"/>
            <w:shd w:val="clear" w:color="auto" w:fill="D9E2F3" w:themeFill="accent1" w:themeFillTint="33"/>
            <w:tcMar>
              <w:top w:w="120" w:type="dxa"/>
              <w:left w:w="180" w:type="dxa"/>
              <w:bottom w:w="120" w:type="dxa"/>
              <w:right w:w="180" w:type="dxa"/>
            </w:tcMar>
            <w:hideMark/>
          </w:tcPr>
          <w:p w14:paraId="6AFEFBC2"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530D34CA"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Assess your understanding of the key concepts and principles of this course.</w:t>
            </w:r>
          </w:p>
        </w:tc>
        <w:tc>
          <w:tcPr>
            <w:tcW w:w="6000" w:type="dxa"/>
            <w:vAlign w:val="center"/>
          </w:tcPr>
          <w:p w14:paraId="3CAF1834" w14:textId="20A7308E"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このコースの主要なコンセプトと原則に関する理解度を評価してください。</w:t>
            </w:r>
          </w:p>
        </w:tc>
      </w:tr>
      <w:tr w:rsidR="00C12BEE" w:rsidRPr="0075571B" w14:paraId="6B56FA93" w14:textId="77777777" w:rsidTr="00132601">
        <w:tc>
          <w:tcPr>
            <w:tcW w:w="1129" w:type="dxa"/>
            <w:shd w:val="clear" w:color="auto" w:fill="D9E2F3" w:themeFill="accent1" w:themeFillTint="33"/>
            <w:tcMar>
              <w:top w:w="120" w:type="dxa"/>
              <w:left w:w="180" w:type="dxa"/>
              <w:bottom w:w="120" w:type="dxa"/>
              <w:right w:w="180" w:type="dxa"/>
            </w:tcMar>
            <w:hideMark/>
          </w:tcPr>
          <w:p w14:paraId="5229FB03"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2F8F8C7D"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5 minutes</w:t>
            </w:r>
          </w:p>
        </w:tc>
        <w:tc>
          <w:tcPr>
            <w:tcW w:w="6000" w:type="dxa"/>
            <w:vAlign w:val="center"/>
          </w:tcPr>
          <w:p w14:paraId="310D6E8E" w14:textId="48FE7374"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5分</w:t>
            </w:r>
          </w:p>
        </w:tc>
      </w:tr>
      <w:tr w:rsidR="00C12BEE" w:rsidRPr="0075571B" w14:paraId="1F5DE585" w14:textId="77777777" w:rsidTr="00132601">
        <w:tc>
          <w:tcPr>
            <w:tcW w:w="1129" w:type="dxa"/>
            <w:shd w:val="clear" w:color="auto" w:fill="D9E2F3" w:themeFill="accent1" w:themeFillTint="33"/>
            <w:tcMar>
              <w:top w:w="120" w:type="dxa"/>
              <w:left w:w="180" w:type="dxa"/>
              <w:bottom w:w="120" w:type="dxa"/>
              <w:right w:w="180" w:type="dxa"/>
            </w:tcMar>
            <w:hideMark/>
          </w:tcPr>
          <w:p w14:paraId="02D7D41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2CEF2AA1"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Assessment</w:t>
            </w:r>
          </w:p>
        </w:tc>
        <w:tc>
          <w:tcPr>
            <w:tcW w:w="6000" w:type="dxa"/>
            <w:vAlign w:val="center"/>
          </w:tcPr>
          <w:p w14:paraId="6E431A89" w14:textId="64A007FF"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評価</w:t>
            </w:r>
          </w:p>
        </w:tc>
      </w:tr>
      <w:tr w:rsidR="00C12BEE" w:rsidRPr="0075571B" w14:paraId="2D7AE2E0" w14:textId="77777777" w:rsidTr="00132601">
        <w:tc>
          <w:tcPr>
            <w:tcW w:w="1129" w:type="dxa"/>
            <w:shd w:val="clear" w:color="auto" w:fill="D9E2F3" w:themeFill="accent1" w:themeFillTint="33"/>
            <w:tcMar>
              <w:top w:w="120" w:type="dxa"/>
              <w:left w:w="180" w:type="dxa"/>
              <w:bottom w:w="120" w:type="dxa"/>
              <w:right w:w="180" w:type="dxa"/>
            </w:tcMar>
            <w:hideMark/>
          </w:tcPr>
          <w:p w14:paraId="3FEE6596"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37BBFD9D"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Click the panel to get started.</w:t>
            </w:r>
          </w:p>
        </w:tc>
        <w:tc>
          <w:tcPr>
            <w:tcW w:w="6000" w:type="dxa"/>
            <w:vAlign w:val="center"/>
          </w:tcPr>
          <w:p w14:paraId="41FD4CDF" w14:textId="6A5FC030"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パネルをクリックして開始してください。</w:t>
            </w:r>
          </w:p>
        </w:tc>
      </w:tr>
      <w:tr w:rsidR="00C12BEE" w:rsidRPr="0075571B" w14:paraId="5D544DA3" w14:textId="77777777" w:rsidTr="00132601">
        <w:tc>
          <w:tcPr>
            <w:tcW w:w="1129" w:type="dxa"/>
            <w:shd w:val="clear" w:color="auto" w:fill="D9E2F3" w:themeFill="accent1" w:themeFillTint="33"/>
            <w:tcMar>
              <w:top w:w="120" w:type="dxa"/>
              <w:left w:w="180" w:type="dxa"/>
              <w:bottom w:w="120" w:type="dxa"/>
              <w:right w:w="180" w:type="dxa"/>
            </w:tcMar>
            <w:hideMark/>
          </w:tcPr>
          <w:p w14:paraId="5E5E796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69633515"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Click the yellow play button to begin.</w:t>
            </w:r>
          </w:p>
        </w:tc>
        <w:tc>
          <w:tcPr>
            <w:tcW w:w="6000" w:type="dxa"/>
            <w:vAlign w:val="center"/>
          </w:tcPr>
          <w:p w14:paraId="1DF86556" w14:textId="765CE99F"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黄色い「再生」ボタンをクリックして始めてください。</w:t>
            </w:r>
          </w:p>
        </w:tc>
      </w:tr>
      <w:tr w:rsidR="00C12BEE" w:rsidRPr="0075571B" w14:paraId="59A05A24" w14:textId="77777777" w:rsidTr="00132601">
        <w:tc>
          <w:tcPr>
            <w:tcW w:w="1129" w:type="dxa"/>
            <w:shd w:val="clear" w:color="auto" w:fill="D9E2F3" w:themeFill="accent1" w:themeFillTint="33"/>
            <w:tcMar>
              <w:top w:w="120" w:type="dxa"/>
              <w:left w:w="180" w:type="dxa"/>
              <w:bottom w:w="120" w:type="dxa"/>
              <w:right w:w="180" w:type="dxa"/>
            </w:tcMar>
            <w:hideMark/>
          </w:tcPr>
          <w:p w14:paraId="0633454D"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77F661B4"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Here is an example.</w:t>
            </w:r>
          </w:p>
        </w:tc>
        <w:tc>
          <w:tcPr>
            <w:tcW w:w="6000" w:type="dxa"/>
            <w:vAlign w:val="center"/>
          </w:tcPr>
          <w:p w14:paraId="420F2236" w14:textId="657B6016"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以下の例を見てみましょう。</w:t>
            </w:r>
          </w:p>
        </w:tc>
      </w:tr>
      <w:tr w:rsidR="00C12BEE" w:rsidRPr="0075571B" w14:paraId="7ED5C068" w14:textId="77777777" w:rsidTr="00132601">
        <w:tc>
          <w:tcPr>
            <w:tcW w:w="1129" w:type="dxa"/>
            <w:shd w:val="clear" w:color="auto" w:fill="D9E2F3" w:themeFill="accent1" w:themeFillTint="33"/>
            <w:tcMar>
              <w:top w:w="120" w:type="dxa"/>
              <w:left w:w="180" w:type="dxa"/>
              <w:bottom w:w="120" w:type="dxa"/>
              <w:right w:w="180" w:type="dxa"/>
            </w:tcMar>
            <w:hideMark/>
          </w:tcPr>
          <w:p w14:paraId="77AEFFD3"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0F993F4F" w14:textId="4451FB6B"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051E84B5" w14:textId="4922186A"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ある工場監督者は、アボットの施設に警備を手配するため、自分の兄弟の会社と契約を結ぶことにしました。</w:t>
            </w:r>
          </w:p>
        </w:tc>
      </w:tr>
      <w:tr w:rsidR="00C12BEE" w:rsidRPr="0075571B" w14:paraId="4FFE8E2D" w14:textId="77777777" w:rsidTr="00132601">
        <w:tc>
          <w:tcPr>
            <w:tcW w:w="1129" w:type="dxa"/>
            <w:shd w:val="clear" w:color="auto" w:fill="D9E2F3" w:themeFill="accent1" w:themeFillTint="33"/>
            <w:tcMar>
              <w:top w:w="120" w:type="dxa"/>
              <w:left w:w="180" w:type="dxa"/>
              <w:bottom w:w="120" w:type="dxa"/>
              <w:right w:w="180" w:type="dxa"/>
            </w:tcMar>
            <w:hideMark/>
          </w:tcPr>
          <w:p w14:paraId="69435FDF"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58C1E539" w14:textId="2B4182EC"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From the outside, it could appear that the plant supervisor has a personal interest in helping his brother’s company to get a new client.</w:t>
            </w:r>
          </w:p>
        </w:tc>
        <w:tc>
          <w:tcPr>
            <w:tcW w:w="6000" w:type="dxa"/>
            <w:vAlign w:val="center"/>
          </w:tcPr>
          <w:p w14:paraId="2183952C" w14:textId="3C0F6DFA"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傍目には、この工場監督者が、兄弟の会社の新規顧客獲得を支援することで個人的利益を得ているようにも見えます。</w:t>
            </w:r>
          </w:p>
        </w:tc>
      </w:tr>
      <w:tr w:rsidR="00C12BEE" w:rsidRPr="0075571B" w14:paraId="4D2BC8F4" w14:textId="77777777" w:rsidTr="00132601">
        <w:tc>
          <w:tcPr>
            <w:tcW w:w="1129" w:type="dxa"/>
            <w:shd w:val="clear" w:color="auto" w:fill="D9E2F3" w:themeFill="accent1" w:themeFillTint="33"/>
            <w:tcMar>
              <w:top w:w="120" w:type="dxa"/>
              <w:left w:w="180" w:type="dxa"/>
              <w:bottom w:w="120" w:type="dxa"/>
              <w:right w:w="180" w:type="dxa"/>
            </w:tcMar>
            <w:hideMark/>
          </w:tcPr>
          <w:p w14:paraId="73A14257"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0C7AF653" w14:textId="7553C4E8"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His personal interest could conflict with Abbott’s interest, which is to hire the best security company available, at the lowest possible price.</w:t>
            </w:r>
          </w:p>
        </w:tc>
        <w:tc>
          <w:tcPr>
            <w:tcW w:w="6000" w:type="dxa"/>
            <w:vAlign w:val="center"/>
          </w:tcPr>
          <w:p w14:paraId="64488539" w14:textId="36FAF6FF"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彼の個人的利益は、最も有能な警備会社を可能な限り低価格で採用するというアボットの利害と相反する可能性があります。</w:t>
            </w:r>
          </w:p>
        </w:tc>
      </w:tr>
      <w:tr w:rsidR="00C12BEE" w:rsidRPr="0075571B" w14:paraId="0348BEA5" w14:textId="77777777" w:rsidTr="00132601">
        <w:tc>
          <w:tcPr>
            <w:tcW w:w="1129" w:type="dxa"/>
            <w:shd w:val="clear" w:color="auto" w:fill="D9E2F3" w:themeFill="accent1" w:themeFillTint="33"/>
            <w:tcMar>
              <w:top w:w="120" w:type="dxa"/>
              <w:left w:w="180" w:type="dxa"/>
              <w:bottom w:w="120" w:type="dxa"/>
              <w:right w:w="180" w:type="dxa"/>
            </w:tcMar>
            <w:hideMark/>
          </w:tcPr>
          <w:p w14:paraId="23C90C0A"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72DF957A"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As a result, there is a conflict of interest.</w:t>
            </w:r>
          </w:p>
        </w:tc>
        <w:tc>
          <w:tcPr>
            <w:tcW w:w="6000" w:type="dxa"/>
            <w:vAlign w:val="center"/>
          </w:tcPr>
          <w:p w14:paraId="06764BDB" w14:textId="54E2730C"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このため、これは利益相反のケースとなります。</w:t>
            </w:r>
          </w:p>
        </w:tc>
      </w:tr>
      <w:tr w:rsidR="00C12BEE" w:rsidRPr="0075571B" w14:paraId="1971DEC7" w14:textId="77777777" w:rsidTr="00132601">
        <w:tc>
          <w:tcPr>
            <w:tcW w:w="1129" w:type="dxa"/>
            <w:shd w:val="clear" w:color="auto" w:fill="D9E2F3" w:themeFill="accent1" w:themeFillTint="33"/>
            <w:tcMar>
              <w:top w:w="120" w:type="dxa"/>
              <w:left w:w="180" w:type="dxa"/>
              <w:bottom w:w="120" w:type="dxa"/>
              <w:right w:w="180" w:type="dxa"/>
            </w:tcMar>
            <w:hideMark/>
          </w:tcPr>
          <w:p w14:paraId="18C66841"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0E9A54D1" w14:textId="452A1D72"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51B4A02E" w14:textId="0E64681B"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下向きの矢印をクリックして、利益相反がアボットのステークホルダーに及ぼしかねない影響について詳しく見てみましょう。</w:t>
            </w:r>
          </w:p>
        </w:tc>
      </w:tr>
      <w:tr w:rsidR="00C12BEE" w:rsidRPr="0075571B" w14:paraId="1AD840FF" w14:textId="77777777" w:rsidTr="00132601">
        <w:tc>
          <w:tcPr>
            <w:tcW w:w="1129" w:type="dxa"/>
            <w:shd w:val="clear" w:color="auto" w:fill="D9E2F3" w:themeFill="accent1" w:themeFillTint="33"/>
            <w:tcMar>
              <w:top w:w="120" w:type="dxa"/>
              <w:left w:w="180" w:type="dxa"/>
              <w:bottom w:w="120" w:type="dxa"/>
              <w:right w:w="180" w:type="dxa"/>
            </w:tcMar>
            <w:hideMark/>
          </w:tcPr>
          <w:p w14:paraId="407C3882"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7890A040"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Employees </w:t>
            </w:r>
          </w:p>
        </w:tc>
        <w:tc>
          <w:tcPr>
            <w:tcW w:w="6000" w:type="dxa"/>
            <w:vAlign w:val="center"/>
          </w:tcPr>
          <w:p w14:paraId="5F60ACF6" w14:textId="3CFA97FE"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 xml:space="preserve">従業員 </w:t>
            </w:r>
          </w:p>
        </w:tc>
      </w:tr>
      <w:tr w:rsidR="00C12BEE" w:rsidRPr="0075571B" w14:paraId="442E1BBC" w14:textId="77777777" w:rsidTr="00132601">
        <w:tc>
          <w:tcPr>
            <w:tcW w:w="1129" w:type="dxa"/>
            <w:shd w:val="clear" w:color="auto" w:fill="D9E2F3" w:themeFill="accent1" w:themeFillTint="33"/>
            <w:tcMar>
              <w:top w:w="120" w:type="dxa"/>
              <w:left w:w="180" w:type="dxa"/>
              <w:bottom w:w="120" w:type="dxa"/>
              <w:right w:w="180" w:type="dxa"/>
            </w:tcMar>
            <w:hideMark/>
          </w:tcPr>
          <w:p w14:paraId="7542322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0789FE5F"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53F04905" w14:textId="74A5D059"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採用および昇進の判断がメリットではなく、親族または交友関係に基づいて行われるようでは、求職者や従業員は、このような利益相反がまかり通る企業で働くことに疑問を感じさせる可能性があります。</w:t>
            </w:r>
          </w:p>
        </w:tc>
      </w:tr>
      <w:tr w:rsidR="00C12BEE" w:rsidRPr="0075571B" w14:paraId="3ED01E77" w14:textId="77777777" w:rsidTr="00132601">
        <w:tc>
          <w:tcPr>
            <w:tcW w:w="1129" w:type="dxa"/>
            <w:shd w:val="clear" w:color="auto" w:fill="D9E2F3" w:themeFill="accent1" w:themeFillTint="33"/>
            <w:tcMar>
              <w:top w:w="120" w:type="dxa"/>
              <w:left w:w="180" w:type="dxa"/>
              <w:bottom w:w="120" w:type="dxa"/>
              <w:right w:w="180" w:type="dxa"/>
            </w:tcMar>
            <w:hideMark/>
          </w:tcPr>
          <w:p w14:paraId="37EAC9BF"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454A850B"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Click the down arrow.</w:t>
            </w:r>
          </w:p>
        </w:tc>
        <w:tc>
          <w:tcPr>
            <w:tcW w:w="6000" w:type="dxa"/>
            <w:vAlign w:val="center"/>
          </w:tcPr>
          <w:p w14:paraId="56DEDCF9" w14:textId="1836E7D0"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下向きの矢印をクリックしてください。</w:t>
            </w:r>
          </w:p>
        </w:tc>
      </w:tr>
      <w:tr w:rsidR="00C12BEE" w:rsidRPr="0075571B" w14:paraId="032AC9F8" w14:textId="77777777" w:rsidTr="00132601">
        <w:tc>
          <w:tcPr>
            <w:tcW w:w="1129" w:type="dxa"/>
            <w:shd w:val="clear" w:color="auto" w:fill="D9E2F3" w:themeFill="accent1" w:themeFillTint="33"/>
            <w:tcMar>
              <w:top w:w="120" w:type="dxa"/>
              <w:left w:w="180" w:type="dxa"/>
              <w:bottom w:w="120" w:type="dxa"/>
              <w:right w:w="180" w:type="dxa"/>
            </w:tcMar>
            <w:hideMark/>
          </w:tcPr>
          <w:p w14:paraId="512D852F"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5A5B40A0"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REVIEW</w:t>
            </w:r>
          </w:p>
        </w:tc>
        <w:tc>
          <w:tcPr>
            <w:tcW w:w="6000" w:type="dxa"/>
            <w:vAlign w:val="center"/>
          </w:tcPr>
          <w:p w14:paraId="79CB312F" w14:textId="0D67C53F"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確認</w:t>
            </w:r>
          </w:p>
        </w:tc>
      </w:tr>
      <w:tr w:rsidR="00C12BEE" w:rsidRPr="0075571B" w14:paraId="0FABBA9F" w14:textId="77777777" w:rsidTr="00132601">
        <w:tc>
          <w:tcPr>
            <w:tcW w:w="1129" w:type="dxa"/>
            <w:shd w:val="clear" w:color="auto" w:fill="D9E2F3" w:themeFill="accent1" w:themeFillTint="33"/>
            <w:tcMar>
              <w:top w:w="120" w:type="dxa"/>
              <w:left w:w="180" w:type="dxa"/>
              <w:bottom w:w="120" w:type="dxa"/>
              <w:right w:w="180" w:type="dxa"/>
            </w:tcMar>
          </w:tcPr>
          <w:p w14:paraId="45FD6B6B" w14:textId="4E0F0D8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260EC48F" w14:textId="12A75B3E"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Take a moment to review some of the key concepts in this section.</w:t>
            </w:r>
          </w:p>
        </w:tc>
        <w:tc>
          <w:tcPr>
            <w:tcW w:w="6000" w:type="dxa"/>
            <w:vAlign w:val="center"/>
          </w:tcPr>
          <w:p w14:paraId="1F976FE0" w14:textId="6106BB94"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このセクションの主要なコンセプトを確認してみましょう。</w:t>
            </w:r>
          </w:p>
        </w:tc>
      </w:tr>
      <w:tr w:rsidR="00C12BEE" w:rsidRPr="0075571B" w14:paraId="59253A7B" w14:textId="77777777" w:rsidTr="00132601">
        <w:tc>
          <w:tcPr>
            <w:tcW w:w="1129" w:type="dxa"/>
            <w:shd w:val="clear" w:color="auto" w:fill="D9E2F3" w:themeFill="accent1" w:themeFillTint="33"/>
            <w:tcMar>
              <w:top w:w="120" w:type="dxa"/>
              <w:left w:w="180" w:type="dxa"/>
              <w:bottom w:w="120" w:type="dxa"/>
              <w:right w:w="180" w:type="dxa"/>
            </w:tcMar>
            <w:hideMark/>
          </w:tcPr>
          <w:p w14:paraId="1B92E62B"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6D94C681"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CONFLICTS OF INTEREST DEFINED</w:t>
            </w:r>
          </w:p>
        </w:tc>
        <w:tc>
          <w:tcPr>
            <w:tcW w:w="6000" w:type="dxa"/>
            <w:vAlign w:val="center"/>
          </w:tcPr>
          <w:p w14:paraId="7F902D42" w14:textId="5A5717B9"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利益相反の定義</w:t>
            </w:r>
          </w:p>
        </w:tc>
      </w:tr>
      <w:tr w:rsidR="00C12BEE" w:rsidRPr="0075571B" w14:paraId="04C6CA2D" w14:textId="77777777" w:rsidTr="00132601">
        <w:tc>
          <w:tcPr>
            <w:tcW w:w="1129" w:type="dxa"/>
            <w:shd w:val="clear" w:color="auto" w:fill="D9E2F3" w:themeFill="accent1" w:themeFillTint="33"/>
            <w:tcMar>
              <w:top w:w="120" w:type="dxa"/>
              <w:left w:w="180" w:type="dxa"/>
              <w:bottom w:w="120" w:type="dxa"/>
              <w:right w:w="180" w:type="dxa"/>
            </w:tcMar>
            <w:hideMark/>
          </w:tcPr>
          <w:p w14:paraId="0441641E"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5BAA87CC" w14:textId="273F7E75"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38288017" w14:textId="5A35F0D1"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利益相反は、アボット従業員の個人的利害がアボットの利害と矛盾する、または矛盾するように思われる場合に発生します。</w:t>
            </w:r>
          </w:p>
        </w:tc>
      </w:tr>
      <w:tr w:rsidR="00C12BEE" w:rsidRPr="0075571B" w14:paraId="1F126A8F" w14:textId="77777777" w:rsidTr="00132601">
        <w:tc>
          <w:tcPr>
            <w:tcW w:w="1129" w:type="dxa"/>
            <w:shd w:val="clear" w:color="auto" w:fill="D9E2F3" w:themeFill="accent1" w:themeFillTint="33"/>
            <w:tcMar>
              <w:top w:w="120" w:type="dxa"/>
              <w:left w:w="180" w:type="dxa"/>
              <w:bottom w:w="120" w:type="dxa"/>
              <w:right w:w="180" w:type="dxa"/>
            </w:tcMar>
            <w:hideMark/>
          </w:tcPr>
          <w:p w14:paraId="5946CF54"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0C8C9F16"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WHY AVOIDING CONFLICTS OF INTEREST MATTERS</w:t>
            </w:r>
          </w:p>
        </w:tc>
        <w:tc>
          <w:tcPr>
            <w:tcW w:w="6000" w:type="dxa"/>
            <w:vAlign w:val="center"/>
          </w:tcPr>
          <w:p w14:paraId="09BFD31B" w14:textId="62646F3F"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なぜ利益相反を回避することが重要なのか</w:t>
            </w:r>
          </w:p>
        </w:tc>
      </w:tr>
      <w:tr w:rsidR="00C12BEE" w:rsidRPr="0075571B" w14:paraId="24F12355" w14:textId="77777777" w:rsidTr="00132601">
        <w:tc>
          <w:tcPr>
            <w:tcW w:w="1129" w:type="dxa"/>
            <w:shd w:val="clear" w:color="auto" w:fill="D9E2F3" w:themeFill="accent1" w:themeFillTint="33"/>
            <w:tcMar>
              <w:top w:w="120" w:type="dxa"/>
              <w:left w:w="180" w:type="dxa"/>
              <w:bottom w:w="120" w:type="dxa"/>
              <w:right w:w="180" w:type="dxa"/>
            </w:tcMar>
            <w:hideMark/>
          </w:tcPr>
          <w:p w14:paraId="208EA8D2"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1BEF54F6"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By putting, or appearing to put, our personal interests above those of our stakeholders, we erode trust - which can affect the reputation and performance of Abbott. </w:t>
            </w:r>
          </w:p>
        </w:tc>
        <w:tc>
          <w:tcPr>
            <w:tcW w:w="6000" w:type="dxa"/>
            <w:vAlign w:val="center"/>
          </w:tcPr>
          <w:p w14:paraId="479B1E95" w14:textId="420C9E40"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私たちが個人的利益をアボットのステークホルダーのそれより優先させるか、優先させているような印象を与えた場合、信頼が損なわれ、アボットの評判と業績にも悪影響が及びかねません。</w:t>
            </w:r>
          </w:p>
        </w:tc>
      </w:tr>
      <w:tr w:rsidR="00C12BEE" w:rsidRPr="0075571B" w14:paraId="51FADACF" w14:textId="77777777" w:rsidTr="00132601">
        <w:tc>
          <w:tcPr>
            <w:tcW w:w="1129" w:type="dxa"/>
            <w:shd w:val="clear" w:color="auto" w:fill="D9E2F3" w:themeFill="accent1" w:themeFillTint="33"/>
            <w:tcMar>
              <w:top w:w="120" w:type="dxa"/>
              <w:left w:w="180" w:type="dxa"/>
              <w:bottom w:w="120" w:type="dxa"/>
              <w:right w:w="180" w:type="dxa"/>
            </w:tcMar>
            <w:hideMark/>
          </w:tcPr>
          <w:p w14:paraId="51E52841"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5F461E2D"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THE KEY TO RESOLVING CONFLICTS OF INTERESTS </w:t>
            </w:r>
          </w:p>
        </w:tc>
        <w:tc>
          <w:tcPr>
            <w:tcW w:w="6000" w:type="dxa"/>
            <w:vAlign w:val="center"/>
          </w:tcPr>
          <w:p w14:paraId="20009903" w14:textId="791FD955"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 xml:space="preserve">利益相反を解決する上でカギを握るもの </w:t>
            </w:r>
          </w:p>
        </w:tc>
      </w:tr>
      <w:tr w:rsidR="00C12BEE" w:rsidRPr="0075571B" w14:paraId="0E1D97F4" w14:textId="77777777" w:rsidTr="00132601">
        <w:tc>
          <w:tcPr>
            <w:tcW w:w="1129" w:type="dxa"/>
            <w:shd w:val="clear" w:color="auto" w:fill="D9E2F3" w:themeFill="accent1" w:themeFillTint="33"/>
            <w:tcMar>
              <w:top w:w="120" w:type="dxa"/>
              <w:left w:w="180" w:type="dxa"/>
              <w:bottom w:w="120" w:type="dxa"/>
              <w:right w:w="180" w:type="dxa"/>
            </w:tcMar>
            <w:hideMark/>
          </w:tcPr>
          <w:p w14:paraId="1FA9256C"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370D5B21"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166DD1FD" w14:textId="55E19B26"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利益相反を解決するには、状況を適切に評価して対処できるよう、利益相反について自分の上司に率直に伝えることがカギとなります。</w:t>
            </w:r>
          </w:p>
        </w:tc>
      </w:tr>
      <w:tr w:rsidR="00C12BEE" w:rsidRPr="0075571B" w14:paraId="7EB8644F" w14:textId="77777777" w:rsidTr="00132601">
        <w:tc>
          <w:tcPr>
            <w:tcW w:w="1129" w:type="dxa"/>
            <w:shd w:val="clear" w:color="auto" w:fill="D9E2F3" w:themeFill="accent1" w:themeFillTint="33"/>
            <w:tcMar>
              <w:top w:w="120" w:type="dxa"/>
              <w:left w:w="180" w:type="dxa"/>
              <w:bottom w:w="120" w:type="dxa"/>
              <w:right w:w="180" w:type="dxa"/>
            </w:tcMar>
            <w:hideMark/>
          </w:tcPr>
          <w:p w14:paraId="205B123B"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60D729D0"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You have completed section {a} of {b}</w:t>
            </w:r>
          </w:p>
        </w:tc>
        <w:tc>
          <w:tcPr>
            <w:tcW w:w="6000" w:type="dxa"/>
            <w:vAlign w:val="center"/>
          </w:tcPr>
          <w:p w14:paraId="396BFC3C" w14:textId="4B09D1A7"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セクション{b}の{a}を修了しました。</w:t>
            </w:r>
          </w:p>
        </w:tc>
      </w:tr>
      <w:tr w:rsidR="00C12BEE" w:rsidRPr="0075571B" w14:paraId="0C6E3BEE" w14:textId="77777777" w:rsidTr="00132601">
        <w:tc>
          <w:tcPr>
            <w:tcW w:w="1129" w:type="dxa"/>
            <w:shd w:val="clear" w:color="auto" w:fill="D9E2F3" w:themeFill="accent1" w:themeFillTint="33"/>
            <w:tcMar>
              <w:top w:w="120" w:type="dxa"/>
              <w:left w:w="180" w:type="dxa"/>
              <w:bottom w:w="120" w:type="dxa"/>
              <w:right w:w="180" w:type="dxa"/>
            </w:tcMar>
          </w:tcPr>
          <w:p w14:paraId="1689E7C5" w14:textId="56648BA9"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438D3A5F"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Theme="minorHAnsi" w:hAnsiTheme="minorHAnsi" w:cstheme="minorHAnsi"/>
                <w:lang w:val="en-IE" w:eastAsia="en-US"/>
              </w:rPr>
              <w:t>CLICK THE FORWARD ARROW TO CONTINUE LEARNING</w:t>
            </w:r>
          </w:p>
        </w:tc>
        <w:tc>
          <w:tcPr>
            <w:tcW w:w="6000" w:type="dxa"/>
            <w:vAlign w:val="center"/>
          </w:tcPr>
          <w:p w14:paraId="1C052522" w14:textId="52BCCD22"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IE" w:eastAsia="ja-JP"/>
              </w:rPr>
              <w:t>学習を続行するには、次へ進む矢印をクリックしてください</w:t>
            </w:r>
          </w:p>
        </w:tc>
      </w:tr>
      <w:tr w:rsidR="00C12BEE" w:rsidRPr="0075571B" w14:paraId="7CC24EFC" w14:textId="77777777" w:rsidTr="00132601">
        <w:tc>
          <w:tcPr>
            <w:tcW w:w="1129" w:type="dxa"/>
            <w:shd w:val="clear" w:color="auto" w:fill="D9E2F3" w:themeFill="accent1" w:themeFillTint="33"/>
            <w:tcMar>
              <w:top w:w="120" w:type="dxa"/>
              <w:left w:w="180" w:type="dxa"/>
              <w:bottom w:w="120" w:type="dxa"/>
              <w:right w:w="180" w:type="dxa"/>
            </w:tcMar>
            <w:hideMark/>
          </w:tcPr>
          <w:p w14:paraId="02ED14BA"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5C40D7F2"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Click the arrow to begin your review.</w:t>
            </w:r>
          </w:p>
        </w:tc>
        <w:tc>
          <w:tcPr>
            <w:tcW w:w="6000" w:type="dxa"/>
            <w:vAlign w:val="center"/>
          </w:tcPr>
          <w:p w14:paraId="3EA9377B" w14:textId="3016668C"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矢印をクリックして、確認を開始してください。</w:t>
            </w:r>
          </w:p>
        </w:tc>
      </w:tr>
      <w:tr w:rsidR="00C12BEE" w:rsidRPr="0075571B" w14:paraId="4C3F7A71" w14:textId="77777777" w:rsidTr="00132601">
        <w:tc>
          <w:tcPr>
            <w:tcW w:w="1129" w:type="dxa"/>
            <w:shd w:val="clear" w:color="auto" w:fill="D9E2F3" w:themeFill="accent1" w:themeFillTint="33"/>
            <w:tcMar>
              <w:top w:w="120" w:type="dxa"/>
              <w:left w:w="180" w:type="dxa"/>
              <w:bottom w:w="120" w:type="dxa"/>
              <w:right w:w="180" w:type="dxa"/>
            </w:tcMar>
            <w:hideMark/>
          </w:tcPr>
          <w:p w14:paraId="455D0991"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1D44C86F"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To check your progress, click the Menu button.</w:t>
            </w:r>
          </w:p>
        </w:tc>
        <w:tc>
          <w:tcPr>
            <w:tcW w:w="6000" w:type="dxa"/>
            <w:vAlign w:val="center"/>
          </w:tcPr>
          <w:p w14:paraId="72CA0C1C" w14:textId="6668D07D"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進捗状況をチェックするには、「メニュー」ボタンをクリックしてください。</w:t>
            </w:r>
          </w:p>
        </w:tc>
      </w:tr>
      <w:tr w:rsidR="00C12BEE" w:rsidRPr="0075571B" w14:paraId="0EACB320" w14:textId="77777777" w:rsidTr="00132601">
        <w:tc>
          <w:tcPr>
            <w:tcW w:w="1129" w:type="dxa"/>
            <w:shd w:val="clear" w:color="auto" w:fill="D9E2F3" w:themeFill="accent1" w:themeFillTint="33"/>
            <w:tcMar>
              <w:top w:w="120" w:type="dxa"/>
              <w:left w:w="180" w:type="dxa"/>
              <w:bottom w:w="120" w:type="dxa"/>
              <w:right w:w="180" w:type="dxa"/>
            </w:tcMar>
            <w:hideMark/>
          </w:tcPr>
          <w:p w14:paraId="3A492D06"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24510F35" w14:textId="28F47C23"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54C1176E" w14:textId="5E133E20"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一般的に、利益相反は大きく分けて6種類に分類できます。まず、財務上の利益相反の例を見てみましょう。</w:t>
            </w:r>
          </w:p>
        </w:tc>
      </w:tr>
      <w:tr w:rsidR="00C12BEE" w:rsidRPr="0075571B" w14:paraId="1C0D3581" w14:textId="77777777" w:rsidTr="00132601">
        <w:tc>
          <w:tcPr>
            <w:tcW w:w="1129" w:type="dxa"/>
            <w:shd w:val="clear" w:color="auto" w:fill="D9E2F3" w:themeFill="accent1" w:themeFillTint="33"/>
            <w:tcMar>
              <w:top w:w="120" w:type="dxa"/>
              <w:left w:w="180" w:type="dxa"/>
              <w:bottom w:w="120" w:type="dxa"/>
              <w:right w:w="180" w:type="dxa"/>
            </w:tcMar>
            <w:hideMark/>
          </w:tcPr>
          <w:p w14:paraId="12609623"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1E6C8972" w14:textId="4808F853"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Let’s now consider conflicts of interest involving family members. </w:t>
            </w:r>
          </w:p>
        </w:tc>
        <w:tc>
          <w:tcPr>
            <w:tcW w:w="6000" w:type="dxa"/>
            <w:vAlign w:val="center"/>
          </w:tcPr>
          <w:p w14:paraId="44E18DE4" w14:textId="23432EFD"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次に、親族が関与する利益相反について考察しましょう。</w:t>
            </w:r>
          </w:p>
        </w:tc>
      </w:tr>
      <w:tr w:rsidR="00C12BEE" w:rsidRPr="0075571B" w14:paraId="1B57C116" w14:textId="77777777" w:rsidTr="00132601">
        <w:tc>
          <w:tcPr>
            <w:tcW w:w="1129" w:type="dxa"/>
            <w:shd w:val="clear" w:color="auto" w:fill="D9E2F3" w:themeFill="accent1" w:themeFillTint="33"/>
            <w:tcMar>
              <w:top w:w="120" w:type="dxa"/>
              <w:left w:w="180" w:type="dxa"/>
              <w:bottom w:w="120" w:type="dxa"/>
              <w:right w:w="180" w:type="dxa"/>
            </w:tcMar>
            <w:hideMark/>
          </w:tcPr>
          <w:p w14:paraId="41CA48E4"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085B210F"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Therefore, individual Abbott employees must not do business on behalf of Abbott with family members or companies owned directly or indirectly by family members.</w:t>
            </w:r>
          </w:p>
        </w:tc>
        <w:tc>
          <w:tcPr>
            <w:tcW w:w="6000" w:type="dxa"/>
            <w:vAlign w:val="center"/>
          </w:tcPr>
          <w:p w14:paraId="2B0FE1D7" w14:textId="636E5FD2"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このため、アボットの各従業員は、会社の代理として、親族、または親族が直接又は間接的に経営する企業との取引を行ってはいけません。</w:t>
            </w:r>
          </w:p>
        </w:tc>
      </w:tr>
      <w:tr w:rsidR="00C12BEE" w:rsidRPr="0075571B" w14:paraId="044BFD02" w14:textId="77777777" w:rsidTr="00132601">
        <w:tc>
          <w:tcPr>
            <w:tcW w:w="1129" w:type="dxa"/>
            <w:shd w:val="clear" w:color="auto" w:fill="D9E2F3" w:themeFill="accent1" w:themeFillTint="33"/>
            <w:tcMar>
              <w:top w:w="120" w:type="dxa"/>
              <w:left w:w="180" w:type="dxa"/>
              <w:bottom w:w="120" w:type="dxa"/>
              <w:right w:w="180" w:type="dxa"/>
            </w:tcMar>
            <w:hideMark/>
          </w:tcPr>
          <w:p w14:paraId="10972384"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113A2D1D"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Since his friend has an excellent reputation from his days at Abbott, Sanjeet ignores the normal vetting process and awards the contract to his former colleague.</w:t>
            </w:r>
          </w:p>
        </w:tc>
        <w:tc>
          <w:tcPr>
            <w:tcW w:w="6000" w:type="dxa"/>
            <w:vAlign w:val="center"/>
          </w:tcPr>
          <w:p w14:paraId="7FE160D0" w14:textId="1C5EF92C"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この友人はアボットでの従業員時代から高い評判を得ていたため、サンジートは通常の審査過程を無視して彼に契約を発注しました。</w:t>
            </w:r>
          </w:p>
        </w:tc>
      </w:tr>
      <w:tr w:rsidR="00C12BEE" w:rsidRPr="0075571B" w14:paraId="627E6A2B" w14:textId="77777777" w:rsidTr="00132601">
        <w:tc>
          <w:tcPr>
            <w:tcW w:w="1129" w:type="dxa"/>
            <w:shd w:val="clear" w:color="auto" w:fill="D9E2F3" w:themeFill="accent1" w:themeFillTint="33"/>
            <w:tcMar>
              <w:top w:w="120" w:type="dxa"/>
              <w:left w:w="180" w:type="dxa"/>
              <w:bottom w:w="120" w:type="dxa"/>
              <w:right w:w="180" w:type="dxa"/>
            </w:tcMar>
            <w:hideMark/>
          </w:tcPr>
          <w:p w14:paraId="7235E98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194BC10C"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Did Sanjeet handle the distributor selection process appropriately?</w:t>
            </w:r>
          </w:p>
        </w:tc>
        <w:tc>
          <w:tcPr>
            <w:tcW w:w="6000" w:type="dxa"/>
            <w:vAlign w:val="center"/>
          </w:tcPr>
          <w:p w14:paraId="0A39B26B" w14:textId="0289C675"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サンジートは販売業者の選定プロセスを適切に実施したでしょうか？</w:t>
            </w:r>
          </w:p>
        </w:tc>
      </w:tr>
      <w:tr w:rsidR="00C12BEE" w:rsidRPr="0075571B" w14:paraId="065E942E" w14:textId="77777777" w:rsidTr="00132601">
        <w:tc>
          <w:tcPr>
            <w:tcW w:w="1129" w:type="dxa"/>
            <w:shd w:val="clear" w:color="auto" w:fill="D9E2F3" w:themeFill="accent1" w:themeFillTint="33"/>
            <w:tcMar>
              <w:top w:w="120" w:type="dxa"/>
              <w:left w:w="180" w:type="dxa"/>
              <w:bottom w:w="120" w:type="dxa"/>
              <w:right w:w="180" w:type="dxa"/>
            </w:tcMar>
            <w:hideMark/>
          </w:tcPr>
          <w:p w14:paraId="26BBCF69"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0E10B62E"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It was not appropriate to bypass the normal vetting process, even if he was sure his friend's company was the best choice. Doing so could be perceived as a conflict of interest.</w:t>
            </w:r>
          </w:p>
        </w:tc>
        <w:tc>
          <w:tcPr>
            <w:tcW w:w="6000" w:type="dxa"/>
            <w:vAlign w:val="center"/>
          </w:tcPr>
          <w:p w14:paraId="3229BDAE" w14:textId="7A8F3631"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通常の審査過程を無視することは、たとえその友人の会社が最適な選択肢であると確信していたとしても、適切な行いではありません。このような行為は利益相反とみなされる恐れがあります。</w:t>
            </w:r>
          </w:p>
        </w:tc>
      </w:tr>
      <w:tr w:rsidR="00C12BEE" w:rsidRPr="0075571B" w14:paraId="3C570216" w14:textId="77777777" w:rsidTr="00132601">
        <w:tc>
          <w:tcPr>
            <w:tcW w:w="1129" w:type="dxa"/>
            <w:shd w:val="clear" w:color="auto" w:fill="D9E2F3" w:themeFill="accent1" w:themeFillTint="33"/>
            <w:tcMar>
              <w:top w:w="120" w:type="dxa"/>
              <w:left w:w="180" w:type="dxa"/>
              <w:bottom w:w="120" w:type="dxa"/>
              <w:right w:w="180" w:type="dxa"/>
            </w:tcMar>
            <w:hideMark/>
          </w:tcPr>
          <w:p w14:paraId="756765A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1AB29ED1"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Sanjeet should exclude his friend from the vetting process.</w:t>
            </w:r>
          </w:p>
        </w:tc>
        <w:tc>
          <w:tcPr>
            <w:tcW w:w="6000" w:type="dxa"/>
            <w:vAlign w:val="center"/>
          </w:tcPr>
          <w:p w14:paraId="51837CC9" w14:textId="631EDEC7"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サンジートは審査過程から友人を除外するべきである。</w:t>
            </w:r>
          </w:p>
        </w:tc>
      </w:tr>
      <w:tr w:rsidR="00C12BEE" w:rsidRPr="0075571B" w14:paraId="1A94A9BB" w14:textId="77777777" w:rsidTr="00132601">
        <w:tc>
          <w:tcPr>
            <w:tcW w:w="1129" w:type="dxa"/>
            <w:shd w:val="clear" w:color="auto" w:fill="D9E2F3" w:themeFill="accent1" w:themeFillTint="33"/>
            <w:tcMar>
              <w:top w:w="120" w:type="dxa"/>
              <w:left w:w="180" w:type="dxa"/>
              <w:bottom w:w="120" w:type="dxa"/>
              <w:right w:w="180" w:type="dxa"/>
            </w:tcMar>
            <w:hideMark/>
          </w:tcPr>
          <w:p w14:paraId="70F7E26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70B47BA7" w14:textId="59440C9F"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Sanjeet’s friend should not be excluded from the process, since it is in Abbott’s best interest to hire the best candidate for the job. Giving the hiring responsibility to another product manager would avoid the potential conflict of interest.</w:t>
            </w:r>
          </w:p>
        </w:tc>
        <w:tc>
          <w:tcPr>
            <w:tcW w:w="6000" w:type="dxa"/>
            <w:vAlign w:val="center"/>
          </w:tcPr>
          <w:p w14:paraId="56F89C65" w14:textId="32555521"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その仕事に対する最良の候補者を採用するのがアボットにとっての最大利益であるため、サンジートの友人は審査過程から除外されるべきではない。別のプロダクトマネージャーに採用担当を譲ることで、利益相反の可能性を回避できる。</w:t>
            </w:r>
          </w:p>
        </w:tc>
      </w:tr>
      <w:tr w:rsidR="00C12BEE" w:rsidRPr="0075571B" w14:paraId="228E13A3" w14:textId="77777777" w:rsidTr="00132601">
        <w:tc>
          <w:tcPr>
            <w:tcW w:w="1129" w:type="dxa"/>
            <w:shd w:val="clear" w:color="auto" w:fill="D9E2F3" w:themeFill="accent1" w:themeFillTint="33"/>
            <w:tcMar>
              <w:top w:w="120" w:type="dxa"/>
              <w:left w:w="180" w:type="dxa"/>
              <w:bottom w:w="120" w:type="dxa"/>
              <w:right w:w="180" w:type="dxa"/>
            </w:tcMar>
            <w:hideMark/>
          </w:tcPr>
          <w:p w14:paraId="54403902"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3ED7E5E8"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Gifts, payments, and other inducements may be accepted only in accordance with the Global Purchasing policy, Purchasing Code of Conduct for Interacting with Suppliers (CPP 40), or any applicable affiliate policy.</w:t>
            </w:r>
          </w:p>
        </w:tc>
        <w:tc>
          <w:tcPr>
            <w:tcW w:w="6000" w:type="dxa"/>
            <w:vAlign w:val="center"/>
          </w:tcPr>
          <w:p w14:paraId="7B9BC97F" w14:textId="0EAFAEDB"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贈り物、支払い、またはその他の誘因報酬の受け取りは、グローバル購買方針、サプライヤーとの関わりにおける購買行動規範（CPP 40）、またはその他の適用される関連会社の方針に沿ってのみ行うことができます。</w:t>
            </w:r>
          </w:p>
        </w:tc>
      </w:tr>
      <w:tr w:rsidR="00C12BEE" w:rsidRPr="0075571B" w14:paraId="2C1E2EED" w14:textId="77777777" w:rsidTr="00132601">
        <w:tc>
          <w:tcPr>
            <w:tcW w:w="1129" w:type="dxa"/>
            <w:shd w:val="clear" w:color="auto" w:fill="D9E2F3" w:themeFill="accent1" w:themeFillTint="33"/>
            <w:tcMar>
              <w:top w:w="120" w:type="dxa"/>
              <w:left w:w="180" w:type="dxa"/>
              <w:bottom w:w="120" w:type="dxa"/>
              <w:right w:w="180" w:type="dxa"/>
            </w:tcMar>
            <w:hideMark/>
          </w:tcPr>
          <w:p w14:paraId="3F94097D"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2D3CDFDF"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Isabella, an Abbott Public Affairs Director, is offered two tickets in a luxury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1365313A" w14:textId="04D3AF33"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アボットの広報部長を務めるイザベラは、アボットへのコンサルティングサービス提供を望む企業から、同社のプレミアムシートで鑑賞できるの舞台チケットを2枚用意されました。イザベラはチケットを受け取り、夫を連れていくことにします。彼女はこのイベントについて自分のマネージャーに伝えていません。</w:t>
            </w:r>
          </w:p>
        </w:tc>
      </w:tr>
      <w:tr w:rsidR="00C12BEE" w:rsidRPr="0075571B" w14:paraId="7A6CA414" w14:textId="77777777" w:rsidTr="00132601">
        <w:tc>
          <w:tcPr>
            <w:tcW w:w="1129" w:type="dxa"/>
            <w:shd w:val="clear" w:color="auto" w:fill="D9E2F3" w:themeFill="accent1" w:themeFillTint="33"/>
            <w:tcMar>
              <w:top w:w="120" w:type="dxa"/>
              <w:left w:w="180" w:type="dxa"/>
              <w:bottom w:w="120" w:type="dxa"/>
              <w:right w:w="180" w:type="dxa"/>
            </w:tcMar>
            <w:hideMark/>
          </w:tcPr>
          <w:p w14:paraId="1CFAFE0F"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63F1559F"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3C6E9C3D" w14:textId="47F4EE60"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このチケットはプレミアムシートのため、イベントは豪華であってはならないという規定に反しています。</w:t>
            </w:r>
          </w:p>
        </w:tc>
      </w:tr>
      <w:tr w:rsidR="00C12BEE" w:rsidRPr="0075571B" w14:paraId="6E150C96" w14:textId="77777777" w:rsidTr="00132601">
        <w:tc>
          <w:tcPr>
            <w:tcW w:w="1129" w:type="dxa"/>
            <w:shd w:val="clear" w:color="auto" w:fill="D9E2F3" w:themeFill="accent1" w:themeFillTint="33"/>
            <w:tcMar>
              <w:top w:w="120" w:type="dxa"/>
              <w:left w:w="180" w:type="dxa"/>
              <w:bottom w:w="120" w:type="dxa"/>
              <w:right w:w="180" w:type="dxa"/>
            </w:tcMar>
            <w:hideMark/>
          </w:tcPr>
          <w:p w14:paraId="34DF7DE4"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7CED5995"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If Isabella were to attend (and bring her husband along), she could create the perception that any future business she might do with the potential vendor is a result of the tickets she received.</w:t>
            </w:r>
          </w:p>
        </w:tc>
        <w:tc>
          <w:tcPr>
            <w:tcW w:w="6000" w:type="dxa"/>
            <w:vAlign w:val="center"/>
          </w:tcPr>
          <w:p w14:paraId="3892AD74" w14:textId="1A69B138"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イザベラが（夫を伴って）鑑賞に行けば、今後彼女が関わるそのベンダー候補とのあらゆる取引が、チケットを受け取った結果であるとみなされる可能性があります。</w:t>
            </w:r>
          </w:p>
        </w:tc>
      </w:tr>
      <w:tr w:rsidR="00C12BEE" w:rsidRPr="0075571B" w14:paraId="160A0713" w14:textId="77777777" w:rsidTr="00132601">
        <w:tc>
          <w:tcPr>
            <w:tcW w:w="1129" w:type="dxa"/>
            <w:shd w:val="clear" w:color="auto" w:fill="D9E2F3" w:themeFill="accent1" w:themeFillTint="33"/>
            <w:tcMar>
              <w:top w:w="120" w:type="dxa"/>
              <w:left w:w="180" w:type="dxa"/>
              <w:bottom w:w="120" w:type="dxa"/>
              <w:right w:w="180" w:type="dxa"/>
            </w:tcMar>
            <w:hideMark/>
          </w:tcPr>
          <w:p w14:paraId="3890C157"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24560158"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127E6589" w14:textId="63C06ABD"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アボットの栄養剤製品事業部でマーケティングマネージャーを務めるララは、小児糖尿病患者向け栄養補助ミニバーを製造するスタートアップ企業への共同所有者となる機会に気づきました。</w:t>
            </w:r>
          </w:p>
        </w:tc>
      </w:tr>
      <w:tr w:rsidR="00C12BEE" w:rsidRPr="0075571B" w14:paraId="70C8B53B" w14:textId="77777777" w:rsidTr="00132601">
        <w:tc>
          <w:tcPr>
            <w:tcW w:w="1129" w:type="dxa"/>
            <w:shd w:val="clear" w:color="auto" w:fill="D9E2F3" w:themeFill="accent1" w:themeFillTint="33"/>
            <w:tcMar>
              <w:top w:w="120" w:type="dxa"/>
              <w:left w:w="180" w:type="dxa"/>
              <w:bottom w:w="120" w:type="dxa"/>
              <w:right w:w="180" w:type="dxa"/>
            </w:tcMar>
            <w:hideMark/>
          </w:tcPr>
          <w:p w14:paraId="19BE1043"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2B82A233" w14:textId="143483B4"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This is a conflict because Lara’s business would be a logical extension of Abbott’s current business. Lara must first disclose the opportunity to Abbott, so Abbott can evaluate whether it wishes to make the investment.</w:t>
            </w:r>
          </w:p>
        </w:tc>
        <w:tc>
          <w:tcPr>
            <w:tcW w:w="6000" w:type="dxa"/>
            <w:vAlign w:val="center"/>
          </w:tcPr>
          <w:p w14:paraId="4D95396C" w14:textId="67CBB3BE"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ララの取引はアボットの現在の事業の論理的延長となるため、これは利益相反となります。ララがまずこの機会をアボットに開示することで、アボットは投資を実施するかどうかの評価を行えます。</w:t>
            </w:r>
          </w:p>
        </w:tc>
      </w:tr>
      <w:tr w:rsidR="00C12BEE" w:rsidRPr="0075571B" w14:paraId="7E6DDBD0" w14:textId="77777777" w:rsidTr="00132601">
        <w:tc>
          <w:tcPr>
            <w:tcW w:w="1129" w:type="dxa"/>
            <w:shd w:val="clear" w:color="auto" w:fill="D9E2F3" w:themeFill="accent1" w:themeFillTint="33"/>
            <w:tcMar>
              <w:top w:w="120" w:type="dxa"/>
              <w:left w:w="180" w:type="dxa"/>
              <w:bottom w:w="120" w:type="dxa"/>
              <w:right w:w="180" w:type="dxa"/>
            </w:tcMar>
            <w:hideMark/>
          </w:tcPr>
          <w:p w14:paraId="5EDD7FD5"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727E01B1" w14:textId="270D250A"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Abbott defines a corporate opportunity as a business opportunity that would be a logical extension of Abbott’s current business or would be in competition with Abbott’s business.</w:t>
            </w:r>
          </w:p>
        </w:tc>
        <w:tc>
          <w:tcPr>
            <w:tcW w:w="6000" w:type="dxa"/>
            <w:vAlign w:val="center"/>
          </w:tcPr>
          <w:p w14:paraId="6713D20B" w14:textId="0CBB6D1F"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アボットが定義する会社の機会の利用とは、アボットの現在の事業の論理的延長となるか、アボットの事業と競合することになるビジネスチャンスを指します。</w:t>
            </w:r>
          </w:p>
        </w:tc>
      </w:tr>
      <w:tr w:rsidR="00C12BEE" w:rsidRPr="0075571B" w14:paraId="4D41ECC0" w14:textId="77777777" w:rsidTr="00132601">
        <w:tc>
          <w:tcPr>
            <w:tcW w:w="1129" w:type="dxa"/>
            <w:shd w:val="clear" w:color="auto" w:fill="D9E2F3" w:themeFill="accent1" w:themeFillTint="33"/>
            <w:tcMar>
              <w:top w:w="120" w:type="dxa"/>
              <w:left w:w="180" w:type="dxa"/>
              <w:bottom w:w="120" w:type="dxa"/>
              <w:right w:w="180" w:type="dxa"/>
            </w:tcMar>
            <w:hideMark/>
          </w:tcPr>
          <w:p w14:paraId="5796C96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4EB849CE"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As with any outside employment opportunity, Juan should assume that this is a potential conflict of interest and discuss the situation with his manager. </w:t>
            </w:r>
          </w:p>
        </w:tc>
        <w:tc>
          <w:tcPr>
            <w:tcW w:w="6000" w:type="dxa"/>
            <w:vAlign w:val="center"/>
          </w:tcPr>
          <w:p w14:paraId="0EF44D30" w14:textId="0D5603B9"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ほかの副業機会と同様、フアンはこれが利益相反になる可能性があるものと捉え、上司と状況について話し合う必要があります。</w:t>
            </w:r>
          </w:p>
        </w:tc>
      </w:tr>
      <w:tr w:rsidR="00C12BEE" w:rsidRPr="0075571B" w14:paraId="760D13AA" w14:textId="77777777" w:rsidTr="00132601">
        <w:tc>
          <w:tcPr>
            <w:tcW w:w="1129" w:type="dxa"/>
            <w:shd w:val="clear" w:color="auto" w:fill="D9E2F3" w:themeFill="accent1" w:themeFillTint="33"/>
            <w:tcMar>
              <w:top w:w="120" w:type="dxa"/>
              <w:left w:w="180" w:type="dxa"/>
              <w:bottom w:w="120" w:type="dxa"/>
              <w:right w:w="180" w:type="dxa"/>
            </w:tcMar>
            <w:hideMark/>
          </w:tcPr>
          <w:p w14:paraId="75245212"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0D6D71F5"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Vendors</w:t>
            </w:r>
          </w:p>
        </w:tc>
        <w:tc>
          <w:tcPr>
            <w:tcW w:w="6000" w:type="dxa"/>
            <w:vAlign w:val="center"/>
          </w:tcPr>
          <w:p w14:paraId="3AB96965" w14:textId="37D9924B"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ベンダー</w:t>
            </w:r>
          </w:p>
        </w:tc>
      </w:tr>
      <w:tr w:rsidR="00C12BEE" w:rsidRPr="0075571B" w14:paraId="22980D3A" w14:textId="77777777" w:rsidTr="00132601">
        <w:tc>
          <w:tcPr>
            <w:tcW w:w="1129" w:type="dxa"/>
            <w:shd w:val="clear" w:color="auto" w:fill="D9E2F3" w:themeFill="accent1" w:themeFillTint="33"/>
            <w:tcMar>
              <w:top w:w="120" w:type="dxa"/>
              <w:left w:w="180" w:type="dxa"/>
              <w:bottom w:w="120" w:type="dxa"/>
              <w:right w:w="180" w:type="dxa"/>
            </w:tcMar>
            <w:hideMark/>
          </w:tcPr>
          <w:p w14:paraId="6EB8680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337AC2F5"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Suppliers</w:t>
            </w:r>
          </w:p>
        </w:tc>
        <w:tc>
          <w:tcPr>
            <w:tcW w:w="6000" w:type="dxa"/>
            <w:vAlign w:val="center"/>
          </w:tcPr>
          <w:p w14:paraId="07960DB2" w14:textId="30CE2907"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サプライヤー</w:t>
            </w:r>
          </w:p>
        </w:tc>
      </w:tr>
      <w:tr w:rsidR="00C12BEE" w:rsidRPr="0075571B" w14:paraId="09388D6C" w14:textId="77777777" w:rsidTr="00132601">
        <w:tc>
          <w:tcPr>
            <w:tcW w:w="1129" w:type="dxa"/>
            <w:shd w:val="clear" w:color="auto" w:fill="D9E2F3" w:themeFill="accent1" w:themeFillTint="33"/>
            <w:tcMar>
              <w:top w:w="120" w:type="dxa"/>
              <w:left w:w="180" w:type="dxa"/>
              <w:bottom w:w="120" w:type="dxa"/>
              <w:right w:w="180" w:type="dxa"/>
            </w:tcMar>
            <w:hideMark/>
          </w:tcPr>
          <w:p w14:paraId="3E40405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41F01986"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Other companies doing business with Abbott</w:t>
            </w:r>
          </w:p>
        </w:tc>
        <w:tc>
          <w:tcPr>
            <w:tcW w:w="6000" w:type="dxa"/>
            <w:vAlign w:val="center"/>
          </w:tcPr>
          <w:p w14:paraId="33100911" w14:textId="7008CCF4"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アボットと取引のあるその他の企業</w:t>
            </w:r>
          </w:p>
        </w:tc>
      </w:tr>
      <w:tr w:rsidR="00C12BEE" w:rsidRPr="0075571B" w14:paraId="7CBA3A48" w14:textId="77777777" w:rsidTr="00132601">
        <w:tc>
          <w:tcPr>
            <w:tcW w:w="1129" w:type="dxa"/>
            <w:shd w:val="clear" w:color="auto" w:fill="D9E2F3" w:themeFill="accent1" w:themeFillTint="33"/>
            <w:tcMar>
              <w:top w:w="120" w:type="dxa"/>
              <w:left w:w="180" w:type="dxa"/>
              <w:bottom w:w="120" w:type="dxa"/>
              <w:right w:w="180" w:type="dxa"/>
            </w:tcMar>
            <w:hideMark/>
          </w:tcPr>
          <w:p w14:paraId="59961D35"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6EEB6433"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Professional organizations (e.g., The European Society for Medical Oncology, American Nurses Association)</w:t>
            </w:r>
          </w:p>
        </w:tc>
        <w:tc>
          <w:tcPr>
            <w:tcW w:w="6000" w:type="dxa"/>
            <w:vAlign w:val="center"/>
          </w:tcPr>
          <w:p w14:paraId="576FF296" w14:textId="1CAB9D8F"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職能団体（例：欧州臨床腫瘍学会、米国看護師協会等）</w:t>
            </w:r>
          </w:p>
        </w:tc>
      </w:tr>
      <w:tr w:rsidR="00C12BEE" w:rsidRPr="0075571B" w14:paraId="6AA7F72A" w14:textId="77777777" w:rsidTr="00132601">
        <w:tc>
          <w:tcPr>
            <w:tcW w:w="1129" w:type="dxa"/>
            <w:shd w:val="clear" w:color="auto" w:fill="D9E2F3" w:themeFill="accent1" w:themeFillTint="33"/>
            <w:tcMar>
              <w:top w:w="120" w:type="dxa"/>
              <w:left w:w="180" w:type="dxa"/>
              <w:bottom w:w="120" w:type="dxa"/>
              <w:right w:w="180" w:type="dxa"/>
            </w:tcMar>
            <w:hideMark/>
          </w:tcPr>
          <w:p w14:paraId="0F5ADB8A"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2BA4E885"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Trade organizations</w:t>
            </w:r>
          </w:p>
        </w:tc>
        <w:tc>
          <w:tcPr>
            <w:tcW w:w="6000" w:type="dxa"/>
            <w:vAlign w:val="center"/>
          </w:tcPr>
          <w:p w14:paraId="7078F04F" w14:textId="7EC84698"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業界団体</w:t>
            </w:r>
          </w:p>
        </w:tc>
      </w:tr>
      <w:tr w:rsidR="00C12BEE" w:rsidRPr="0075571B" w14:paraId="5A048700" w14:textId="77777777" w:rsidTr="00132601">
        <w:tc>
          <w:tcPr>
            <w:tcW w:w="1129" w:type="dxa"/>
            <w:shd w:val="clear" w:color="auto" w:fill="D9E2F3" w:themeFill="accent1" w:themeFillTint="33"/>
            <w:tcMar>
              <w:top w:w="120" w:type="dxa"/>
              <w:left w:w="180" w:type="dxa"/>
              <w:bottom w:w="120" w:type="dxa"/>
              <w:right w:w="180" w:type="dxa"/>
            </w:tcMar>
            <w:hideMark/>
          </w:tcPr>
          <w:p w14:paraId="48C1F8D3"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54738613"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Hospitals and other customers</w:t>
            </w:r>
          </w:p>
        </w:tc>
        <w:tc>
          <w:tcPr>
            <w:tcW w:w="6000" w:type="dxa"/>
            <w:vAlign w:val="center"/>
          </w:tcPr>
          <w:p w14:paraId="6EEB756B" w14:textId="644938A4"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病院およびその他の顧客</w:t>
            </w:r>
          </w:p>
        </w:tc>
      </w:tr>
      <w:tr w:rsidR="00C12BEE" w:rsidRPr="0075571B" w14:paraId="7C528F39" w14:textId="77777777" w:rsidTr="00132601">
        <w:tc>
          <w:tcPr>
            <w:tcW w:w="1129" w:type="dxa"/>
            <w:shd w:val="clear" w:color="auto" w:fill="D9E2F3" w:themeFill="accent1" w:themeFillTint="33"/>
            <w:tcMar>
              <w:top w:w="120" w:type="dxa"/>
              <w:left w:w="180" w:type="dxa"/>
              <w:bottom w:w="120" w:type="dxa"/>
              <w:right w:w="180" w:type="dxa"/>
            </w:tcMar>
            <w:hideMark/>
          </w:tcPr>
          <w:p w14:paraId="7ABBF206"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1740C705" w14:textId="07094E55"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2B1FC197" w14:textId="680EDC7E"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 xml:space="preserve">アボットの業務に当てはまる規定や基準を設ける公共・民間団体（例：世界保健機関［WHO］） </w:t>
            </w:r>
          </w:p>
        </w:tc>
      </w:tr>
      <w:tr w:rsidR="00C12BEE" w:rsidRPr="0075571B" w14:paraId="5B521E36" w14:textId="77777777" w:rsidTr="00132601">
        <w:tc>
          <w:tcPr>
            <w:tcW w:w="1129" w:type="dxa"/>
            <w:shd w:val="clear" w:color="auto" w:fill="D9E2F3" w:themeFill="accent1" w:themeFillTint="33"/>
            <w:tcMar>
              <w:top w:w="120" w:type="dxa"/>
              <w:left w:w="180" w:type="dxa"/>
              <w:bottom w:w="120" w:type="dxa"/>
              <w:right w:w="180" w:type="dxa"/>
            </w:tcMar>
            <w:hideMark/>
          </w:tcPr>
          <w:p w14:paraId="064D87F4"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6765540F"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REVIEW</w:t>
            </w:r>
          </w:p>
        </w:tc>
        <w:tc>
          <w:tcPr>
            <w:tcW w:w="6000" w:type="dxa"/>
            <w:vAlign w:val="center"/>
          </w:tcPr>
          <w:p w14:paraId="3556BB09" w14:textId="1D2DC3B7"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確認</w:t>
            </w:r>
          </w:p>
        </w:tc>
      </w:tr>
      <w:tr w:rsidR="00C12BEE" w:rsidRPr="0075571B" w14:paraId="38716316" w14:textId="77777777" w:rsidTr="00132601">
        <w:tc>
          <w:tcPr>
            <w:tcW w:w="1129" w:type="dxa"/>
            <w:shd w:val="clear" w:color="auto" w:fill="D9E2F3" w:themeFill="accent1" w:themeFillTint="33"/>
            <w:tcMar>
              <w:top w:w="120" w:type="dxa"/>
              <w:left w:w="180" w:type="dxa"/>
              <w:bottom w:w="120" w:type="dxa"/>
              <w:right w:w="180" w:type="dxa"/>
            </w:tcMar>
          </w:tcPr>
          <w:p w14:paraId="09A93C4A" w14:textId="6EFF582B"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3C7A874C" w14:textId="787D57EC"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Arial Unicode MS" w:hAnsi="Calibri" w:cs="Calibri"/>
                <w:lang w:val="en-IE"/>
              </w:rPr>
              <w:t>Take a moment to review some of the key concepts in this section.</w:t>
            </w:r>
          </w:p>
        </w:tc>
        <w:tc>
          <w:tcPr>
            <w:tcW w:w="6000" w:type="dxa"/>
            <w:vAlign w:val="center"/>
          </w:tcPr>
          <w:p w14:paraId="43A55317" w14:textId="7FB9F335"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IE" w:eastAsia="ja-JP"/>
              </w:rPr>
              <w:t>このセクションの主要なコンセプトを確認してみましょう。</w:t>
            </w:r>
          </w:p>
        </w:tc>
      </w:tr>
      <w:tr w:rsidR="00C12BEE" w:rsidRPr="0075571B" w14:paraId="52F28C3D" w14:textId="77777777" w:rsidTr="00132601">
        <w:tc>
          <w:tcPr>
            <w:tcW w:w="1129" w:type="dxa"/>
            <w:shd w:val="clear" w:color="auto" w:fill="D9E2F3" w:themeFill="accent1" w:themeFillTint="33"/>
            <w:tcMar>
              <w:top w:w="120" w:type="dxa"/>
              <w:left w:w="180" w:type="dxa"/>
              <w:bottom w:w="120" w:type="dxa"/>
              <w:right w:w="180" w:type="dxa"/>
            </w:tcMar>
            <w:hideMark/>
          </w:tcPr>
          <w:p w14:paraId="785DE491"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45167E8B"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FINANCIAL INTERESTS </w:t>
            </w:r>
          </w:p>
        </w:tc>
        <w:tc>
          <w:tcPr>
            <w:tcW w:w="6000" w:type="dxa"/>
            <w:vAlign w:val="center"/>
          </w:tcPr>
          <w:p w14:paraId="0B017BAF" w14:textId="1BB42D25"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 xml:space="preserve">財務上の利害 </w:t>
            </w:r>
          </w:p>
        </w:tc>
      </w:tr>
      <w:tr w:rsidR="00C12BEE" w:rsidRPr="0075571B" w14:paraId="3EBD6D74" w14:textId="77777777" w:rsidTr="00132601">
        <w:tc>
          <w:tcPr>
            <w:tcW w:w="1129" w:type="dxa"/>
            <w:shd w:val="clear" w:color="auto" w:fill="D9E2F3" w:themeFill="accent1" w:themeFillTint="33"/>
            <w:tcMar>
              <w:top w:w="120" w:type="dxa"/>
              <w:left w:w="180" w:type="dxa"/>
              <w:bottom w:w="120" w:type="dxa"/>
              <w:right w:w="180" w:type="dxa"/>
            </w:tcMar>
            <w:hideMark/>
          </w:tcPr>
          <w:p w14:paraId="3DFAEBAF"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5E306526"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Financial conflicts of interest exist when an Abbott employee has a material, ownership, or other financial interest in a business entity that conducts or seeks to conduct business with Abbott or is a competitor of Abbott.</w:t>
            </w:r>
          </w:p>
        </w:tc>
        <w:tc>
          <w:tcPr>
            <w:tcW w:w="6000" w:type="dxa"/>
            <w:vAlign w:val="center"/>
          </w:tcPr>
          <w:p w14:paraId="01A55513" w14:textId="6A34A5B4"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財務上の利益相反は、アボットあるいはアボットの競合他社と取引がある、または取引機会を追求している事業体において、アボットの従業員が物質的な利害、持分権、またはその他の財務上の利害を有する場合に発生します。</w:t>
            </w:r>
          </w:p>
        </w:tc>
      </w:tr>
      <w:tr w:rsidR="00C12BEE" w:rsidRPr="0075571B" w14:paraId="7352C287" w14:textId="77777777" w:rsidTr="00132601">
        <w:tc>
          <w:tcPr>
            <w:tcW w:w="1129" w:type="dxa"/>
            <w:shd w:val="clear" w:color="auto" w:fill="D9E2F3" w:themeFill="accent1" w:themeFillTint="33"/>
            <w:tcMar>
              <w:top w:w="120" w:type="dxa"/>
              <w:left w:w="180" w:type="dxa"/>
              <w:bottom w:w="120" w:type="dxa"/>
              <w:right w:w="180" w:type="dxa"/>
            </w:tcMar>
            <w:hideMark/>
          </w:tcPr>
          <w:p w14:paraId="041CD3C9"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60F58063"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FAMILY MEMBERS</w:t>
            </w:r>
          </w:p>
        </w:tc>
        <w:tc>
          <w:tcPr>
            <w:tcW w:w="6000" w:type="dxa"/>
            <w:vAlign w:val="center"/>
          </w:tcPr>
          <w:p w14:paraId="454B42E9" w14:textId="00C5CC40"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親族</w:t>
            </w:r>
          </w:p>
        </w:tc>
      </w:tr>
      <w:tr w:rsidR="00C12BEE" w:rsidRPr="0075571B" w14:paraId="24F323DC" w14:textId="77777777" w:rsidTr="00132601">
        <w:tc>
          <w:tcPr>
            <w:tcW w:w="1129" w:type="dxa"/>
            <w:shd w:val="clear" w:color="auto" w:fill="D9E2F3" w:themeFill="accent1" w:themeFillTint="33"/>
            <w:tcMar>
              <w:top w:w="120" w:type="dxa"/>
              <w:left w:w="180" w:type="dxa"/>
              <w:bottom w:w="120" w:type="dxa"/>
              <w:right w:w="180" w:type="dxa"/>
            </w:tcMar>
            <w:hideMark/>
          </w:tcPr>
          <w:p w14:paraId="48FDA5BC"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45CBFE54"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3DE8BEF9" w14:textId="3F396F45"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親族にまつわる利益相反は、アボットの従業員が会社の代理として親族と業務を行うか、業務機会を追求しようとした場合に発生します。</w:t>
            </w:r>
          </w:p>
        </w:tc>
      </w:tr>
      <w:tr w:rsidR="00C12BEE" w:rsidRPr="0075571B" w14:paraId="2681A97E" w14:textId="77777777" w:rsidTr="00132601">
        <w:tc>
          <w:tcPr>
            <w:tcW w:w="1129" w:type="dxa"/>
            <w:shd w:val="clear" w:color="auto" w:fill="D9E2F3" w:themeFill="accent1" w:themeFillTint="33"/>
            <w:tcMar>
              <w:top w:w="120" w:type="dxa"/>
              <w:left w:w="180" w:type="dxa"/>
              <w:bottom w:w="120" w:type="dxa"/>
              <w:right w:w="180" w:type="dxa"/>
            </w:tcMar>
            <w:hideMark/>
          </w:tcPr>
          <w:p w14:paraId="1EB37AC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6678EAB2"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GIFTS, PAYMENTS, AND OTHER INDUCEMENTS</w:t>
            </w:r>
          </w:p>
        </w:tc>
        <w:tc>
          <w:tcPr>
            <w:tcW w:w="6000" w:type="dxa"/>
            <w:vAlign w:val="center"/>
          </w:tcPr>
          <w:p w14:paraId="47D08B6D" w14:textId="196E7081"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贈り物、支払い、その他の誘因報酬</w:t>
            </w:r>
          </w:p>
        </w:tc>
      </w:tr>
      <w:tr w:rsidR="00C12BEE" w:rsidRPr="0075571B" w14:paraId="0DEB41C9" w14:textId="77777777" w:rsidTr="00132601">
        <w:tc>
          <w:tcPr>
            <w:tcW w:w="1129" w:type="dxa"/>
            <w:shd w:val="clear" w:color="auto" w:fill="D9E2F3" w:themeFill="accent1" w:themeFillTint="33"/>
            <w:tcMar>
              <w:top w:w="120" w:type="dxa"/>
              <w:left w:w="180" w:type="dxa"/>
              <w:bottom w:w="120" w:type="dxa"/>
              <w:right w:w="180" w:type="dxa"/>
            </w:tcMar>
            <w:hideMark/>
          </w:tcPr>
          <w:p w14:paraId="575018E5"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36D7E607" w14:textId="53C4E13C"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13A07668" w14:textId="3CDEB9EA"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アボットのサプライヤー、業者、またはその他の仕事関係者から贈り物、支払い、またはその他の誘因報酬を受け取った場合、それが従業員の購買決定に影響を及ぼすか、及ぼしていると見なされる可能性があるため、利益相反となるおそれがあります。</w:t>
            </w:r>
          </w:p>
        </w:tc>
      </w:tr>
      <w:tr w:rsidR="00C12BEE" w:rsidRPr="0075571B" w14:paraId="7DC4BA5A" w14:textId="77777777" w:rsidTr="00132601">
        <w:tc>
          <w:tcPr>
            <w:tcW w:w="1129" w:type="dxa"/>
            <w:shd w:val="clear" w:color="auto" w:fill="D9E2F3" w:themeFill="accent1" w:themeFillTint="33"/>
            <w:tcMar>
              <w:top w:w="120" w:type="dxa"/>
              <w:left w:w="180" w:type="dxa"/>
              <w:bottom w:w="120" w:type="dxa"/>
              <w:right w:w="180" w:type="dxa"/>
            </w:tcMar>
            <w:hideMark/>
          </w:tcPr>
          <w:p w14:paraId="154772DF"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710E86FC"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CORPORATE OPPORTUNITIES</w:t>
            </w:r>
          </w:p>
        </w:tc>
        <w:tc>
          <w:tcPr>
            <w:tcW w:w="6000" w:type="dxa"/>
            <w:vAlign w:val="center"/>
          </w:tcPr>
          <w:p w14:paraId="555D77AB" w14:textId="478F1090"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会社の機会の利用</w:t>
            </w:r>
          </w:p>
        </w:tc>
      </w:tr>
      <w:tr w:rsidR="00C12BEE" w:rsidRPr="0075571B" w14:paraId="56474BC1" w14:textId="77777777" w:rsidTr="00132601">
        <w:tc>
          <w:tcPr>
            <w:tcW w:w="1129" w:type="dxa"/>
            <w:shd w:val="clear" w:color="auto" w:fill="D9E2F3" w:themeFill="accent1" w:themeFillTint="33"/>
            <w:tcMar>
              <w:top w:w="120" w:type="dxa"/>
              <w:left w:w="180" w:type="dxa"/>
              <w:bottom w:w="120" w:type="dxa"/>
              <w:right w:w="180" w:type="dxa"/>
            </w:tcMar>
            <w:hideMark/>
          </w:tcPr>
          <w:p w14:paraId="7F2E09B9"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2438084D" w14:textId="20041C05"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If an Abbott employee becomes aware of a business opportunity that is a logical extension of Abbott’s current business, or would be in competition with Abbott’s business, the employee must offer the opportunity to Abbott.</w:t>
            </w:r>
          </w:p>
        </w:tc>
        <w:tc>
          <w:tcPr>
            <w:tcW w:w="6000" w:type="dxa"/>
            <w:vAlign w:val="center"/>
          </w:tcPr>
          <w:p w14:paraId="14A342D3" w14:textId="567B33E3"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アボットの従業員が、アボットの現在の事業の論理的延長である、あるいはアボットの現在の事業と競合するビジネス機会に気づいた場合、従業員はその機会をアボットに提示しなくてはいけません。</w:t>
            </w:r>
          </w:p>
        </w:tc>
      </w:tr>
      <w:tr w:rsidR="00C12BEE" w:rsidRPr="0075571B" w14:paraId="4BA687CC" w14:textId="77777777" w:rsidTr="00132601">
        <w:tc>
          <w:tcPr>
            <w:tcW w:w="1129" w:type="dxa"/>
            <w:shd w:val="clear" w:color="auto" w:fill="D9E2F3" w:themeFill="accent1" w:themeFillTint="33"/>
            <w:tcMar>
              <w:top w:w="120" w:type="dxa"/>
              <w:left w:w="180" w:type="dxa"/>
              <w:bottom w:w="120" w:type="dxa"/>
              <w:right w:w="180" w:type="dxa"/>
            </w:tcMar>
            <w:hideMark/>
          </w:tcPr>
          <w:p w14:paraId="0832004F"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01429E56"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OUTSIDE EMPLOYMENT AND CONSULTING </w:t>
            </w:r>
          </w:p>
        </w:tc>
        <w:tc>
          <w:tcPr>
            <w:tcW w:w="6000" w:type="dxa"/>
            <w:vAlign w:val="center"/>
          </w:tcPr>
          <w:p w14:paraId="73C0EF3A" w14:textId="4F82618F"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 xml:space="preserve">副業およびコンサルティング </w:t>
            </w:r>
          </w:p>
        </w:tc>
      </w:tr>
      <w:tr w:rsidR="00C12BEE" w:rsidRPr="0075571B" w14:paraId="51AE3F7D" w14:textId="77777777" w:rsidTr="00132601">
        <w:tc>
          <w:tcPr>
            <w:tcW w:w="1129" w:type="dxa"/>
            <w:shd w:val="clear" w:color="auto" w:fill="D9E2F3" w:themeFill="accent1" w:themeFillTint="33"/>
            <w:tcMar>
              <w:top w:w="120" w:type="dxa"/>
              <w:left w:w="180" w:type="dxa"/>
              <w:bottom w:w="120" w:type="dxa"/>
              <w:right w:w="180" w:type="dxa"/>
            </w:tcMar>
            <w:hideMark/>
          </w:tcPr>
          <w:p w14:paraId="4EB4689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7A1C32C7" w14:textId="02B87AF5"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All outside employment (including consulting opportunities) should be viewed as a potential conflict of interest and should be discussed and assessed on a case-by-case basis with the employee’s manager.</w:t>
            </w:r>
          </w:p>
        </w:tc>
        <w:tc>
          <w:tcPr>
            <w:tcW w:w="6000" w:type="dxa"/>
            <w:vAlign w:val="center"/>
          </w:tcPr>
          <w:p w14:paraId="26D4EDA9" w14:textId="57E57979"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すべての社外での副業（コンサルティングの機会を含む）は、潜在的な利益相反と見なされるべきであり、従業員の上司と共にケースバイケースで検討・評価する必要があります。</w:t>
            </w:r>
          </w:p>
        </w:tc>
      </w:tr>
      <w:tr w:rsidR="00C12BEE" w:rsidRPr="0075571B" w14:paraId="57F57B3A" w14:textId="77777777" w:rsidTr="00132601">
        <w:tc>
          <w:tcPr>
            <w:tcW w:w="1129" w:type="dxa"/>
            <w:shd w:val="clear" w:color="auto" w:fill="D9E2F3" w:themeFill="accent1" w:themeFillTint="33"/>
            <w:tcMar>
              <w:top w:w="120" w:type="dxa"/>
              <w:left w:w="180" w:type="dxa"/>
              <w:bottom w:w="120" w:type="dxa"/>
              <w:right w:w="180" w:type="dxa"/>
            </w:tcMar>
            <w:hideMark/>
          </w:tcPr>
          <w:p w14:paraId="7B4B4CE3"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12D19368"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SERVING ON BOARDS OR AS OFFICERS FOR THIRD PARTIES</w:t>
            </w:r>
          </w:p>
        </w:tc>
        <w:tc>
          <w:tcPr>
            <w:tcW w:w="6000" w:type="dxa"/>
            <w:vAlign w:val="center"/>
          </w:tcPr>
          <w:p w14:paraId="0D10C8D6" w14:textId="1971FE96"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第三者の理事会メンバーまたは役員を務める</w:t>
            </w:r>
          </w:p>
        </w:tc>
      </w:tr>
      <w:tr w:rsidR="00C12BEE" w:rsidRPr="0075571B" w14:paraId="0921536C" w14:textId="77777777" w:rsidTr="00132601">
        <w:tc>
          <w:tcPr>
            <w:tcW w:w="1129" w:type="dxa"/>
            <w:shd w:val="clear" w:color="auto" w:fill="D9E2F3" w:themeFill="accent1" w:themeFillTint="33"/>
            <w:tcMar>
              <w:top w:w="120" w:type="dxa"/>
              <w:left w:w="180" w:type="dxa"/>
              <w:bottom w:w="120" w:type="dxa"/>
              <w:right w:w="180" w:type="dxa"/>
            </w:tcMar>
            <w:hideMark/>
          </w:tcPr>
          <w:p w14:paraId="7F8556D4"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3960FF66"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Employees who want to serve on boards or as officers of third parties should disclose that to their managers and seek the relevant approvals.</w:t>
            </w:r>
          </w:p>
        </w:tc>
        <w:tc>
          <w:tcPr>
            <w:tcW w:w="6000" w:type="dxa"/>
            <w:vAlign w:val="center"/>
          </w:tcPr>
          <w:p w14:paraId="5932B39C" w14:textId="45407BFC"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第三者の理事会メンバーまたは役員を務めたいと考える従業員は、その件について上司に開示して関連の承認を得る必要があります。</w:t>
            </w:r>
          </w:p>
        </w:tc>
      </w:tr>
      <w:tr w:rsidR="00C12BEE" w:rsidRPr="0075571B" w14:paraId="5FDF90E9" w14:textId="77777777" w:rsidTr="00132601">
        <w:tc>
          <w:tcPr>
            <w:tcW w:w="1129" w:type="dxa"/>
            <w:shd w:val="clear" w:color="auto" w:fill="D9E2F3" w:themeFill="accent1" w:themeFillTint="33"/>
            <w:tcMar>
              <w:top w:w="120" w:type="dxa"/>
              <w:left w:w="180" w:type="dxa"/>
              <w:bottom w:w="120" w:type="dxa"/>
              <w:right w:w="180" w:type="dxa"/>
            </w:tcMar>
            <w:hideMark/>
          </w:tcPr>
          <w:p w14:paraId="5E8A115A"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71C88F98"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You have completed section {a} of {b}</w:t>
            </w:r>
          </w:p>
        </w:tc>
        <w:tc>
          <w:tcPr>
            <w:tcW w:w="6000" w:type="dxa"/>
            <w:vAlign w:val="center"/>
          </w:tcPr>
          <w:p w14:paraId="3639BB9F" w14:textId="55E154ED"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セクション{b}の{a}を修了しました。</w:t>
            </w:r>
          </w:p>
        </w:tc>
      </w:tr>
      <w:tr w:rsidR="00C12BEE" w:rsidRPr="0075571B" w14:paraId="2421E0DD" w14:textId="77777777" w:rsidTr="00132601">
        <w:tc>
          <w:tcPr>
            <w:tcW w:w="1129" w:type="dxa"/>
            <w:shd w:val="clear" w:color="auto" w:fill="D9E2F3" w:themeFill="accent1" w:themeFillTint="33"/>
            <w:tcMar>
              <w:top w:w="120" w:type="dxa"/>
              <w:left w:w="180" w:type="dxa"/>
              <w:bottom w:w="120" w:type="dxa"/>
              <w:right w:w="180" w:type="dxa"/>
            </w:tcMar>
            <w:hideMark/>
          </w:tcPr>
          <w:p w14:paraId="1EC725CB"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5901ACD8"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CLICK THE FORWARD ARROW TO CONTINUE LEARNING</w:t>
            </w:r>
          </w:p>
        </w:tc>
        <w:tc>
          <w:tcPr>
            <w:tcW w:w="6000" w:type="dxa"/>
            <w:vAlign w:val="center"/>
          </w:tcPr>
          <w:p w14:paraId="3050BAFA" w14:textId="4083F4E5"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学習を続行するには、次へ進む矢印をクリックしてください</w:t>
            </w:r>
          </w:p>
        </w:tc>
      </w:tr>
      <w:tr w:rsidR="00C12BEE" w:rsidRPr="0075571B" w14:paraId="05E93375" w14:textId="77777777" w:rsidTr="00132601">
        <w:tc>
          <w:tcPr>
            <w:tcW w:w="1129" w:type="dxa"/>
            <w:shd w:val="clear" w:color="auto" w:fill="D9E2F3" w:themeFill="accent1" w:themeFillTint="33"/>
            <w:tcMar>
              <w:top w:w="120" w:type="dxa"/>
              <w:left w:w="180" w:type="dxa"/>
              <w:bottom w:w="120" w:type="dxa"/>
              <w:right w:w="180" w:type="dxa"/>
            </w:tcMar>
          </w:tcPr>
          <w:p w14:paraId="0C2A2034" w14:textId="2812076C"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47221021" w14:textId="18143382"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Click the arrow to begin your review.</w:t>
            </w:r>
          </w:p>
        </w:tc>
        <w:tc>
          <w:tcPr>
            <w:tcW w:w="6000" w:type="dxa"/>
            <w:vAlign w:val="center"/>
          </w:tcPr>
          <w:p w14:paraId="00D1A665" w14:textId="2156C524"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矢印をクリックして、確認を開始してください。</w:t>
            </w:r>
          </w:p>
        </w:tc>
      </w:tr>
      <w:tr w:rsidR="00C12BEE" w:rsidRPr="0075571B" w14:paraId="640D5E17" w14:textId="77777777" w:rsidTr="00132601">
        <w:tc>
          <w:tcPr>
            <w:tcW w:w="1129" w:type="dxa"/>
            <w:shd w:val="clear" w:color="auto" w:fill="D9E2F3" w:themeFill="accent1" w:themeFillTint="33"/>
            <w:tcMar>
              <w:top w:w="120" w:type="dxa"/>
              <w:left w:w="180" w:type="dxa"/>
              <w:bottom w:w="120" w:type="dxa"/>
              <w:right w:w="180" w:type="dxa"/>
            </w:tcMar>
          </w:tcPr>
          <w:p w14:paraId="51035E8D" w14:textId="0A556C9F"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094F1BD2" w14:textId="3BB9C14C"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To check your progress, click the Menu button.</w:t>
            </w:r>
          </w:p>
        </w:tc>
        <w:tc>
          <w:tcPr>
            <w:tcW w:w="6000" w:type="dxa"/>
            <w:vAlign w:val="center"/>
          </w:tcPr>
          <w:p w14:paraId="3AEAFD8A" w14:textId="18D5C8A7"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進捗状況をチェックするには、「メニュー」ボタンをクリックしてください。</w:t>
            </w:r>
          </w:p>
        </w:tc>
      </w:tr>
      <w:tr w:rsidR="00C12BEE" w:rsidRPr="0075571B" w14:paraId="24BC28D1" w14:textId="77777777" w:rsidTr="00132601">
        <w:tc>
          <w:tcPr>
            <w:tcW w:w="1129" w:type="dxa"/>
            <w:shd w:val="clear" w:color="auto" w:fill="D9E2F3" w:themeFill="accent1" w:themeFillTint="33"/>
            <w:tcMar>
              <w:top w:w="120" w:type="dxa"/>
              <w:left w:w="180" w:type="dxa"/>
              <w:bottom w:w="120" w:type="dxa"/>
              <w:right w:w="180" w:type="dxa"/>
            </w:tcMar>
            <w:hideMark/>
          </w:tcPr>
          <w:p w14:paraId="42BC422C"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4B435B30"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When disclosing a conflict of interest, follow these simple steps.</w:t>
            </w:r>
          </w:p>
        </w:tc>
        <w:tc>
          <w:tcPr>
            <w:tcW w:w="6000" w:type="dxa"/>
            <w:vAlign w:val="center"/>
          </w:tcPr>
          <w:p w14:paraId="720E2C08" w14:textId="5C7F6896"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利益相反を開示する際は、以下の手順に従ってください。</w:t>
            </w:r>
          </w:p>
        </w:tc>
      </w:tr>
      <w:tr w:rsidR="00C12BEE" w:rsidRPr="0075571B" w14:paraId="3CF0ADC4" w14:textId="77777777" w:rsidTr="00132601">
        <w:tc>
          <w:tcPr>
            <w:tcW w:w="1129" w:type="dxa"/>
            <w:shd w:val="clear" w:color="auto" w:fill="D9E2F3" w:themeFill="accent1" w:themeFillTint="33"/>
            <w:tcMar>
              <w:top w:w="120" w:type="dxa"/>
              <w:left w:w="180" w:type="dxa"/>
              <w:bottom w:w="120" w:type="dxa"/>
              <w:right w:w="180" w:type="dxa"/>
            </w:tcMar>
            <w:hideMark/>
          </w:tcPr>
          <w:p w14:paraId="6176A1C8"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1F2956EA"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STEP 1 </w:t>
            </w:r>
          </w:p>
        </w:tc>
        <w:tc>
          <w:tcPr>
            <w:tcW w:w="6000" w:type="dxa"/>
            <w:vAlign w:val="center"/>
          </w:tcPr>
          <w:p w14:paraId="0FF82002" w14:textId="1EDC2BFE"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 xml:space="preserve">ステップ1 </w:t>
            </w:r>
          </w:p>
        </w:tc>
      </w:tr>
      <w:tr w:rsidR="00C12BEE" w:rsidRPr="0075571B" w14:paraId="617A0AAE" w14:textId="77777777" w:rsidTr="00132601">
        <w:tc>
          <w:tcPr>
            <w:tcW w:w="1129" w:type="dxa"/>
            <w:shd w:val="clear" w:color="auto" w:fill="D9E2F3" w:themeFill="accent1" w:themeFillTint="33"/>
            <w:tcMar>
              <w:top w:w="120" w:type="dxa"/>
              <w:left w:w="180" w:type="dxa"/>
              <w:bottom w:w="120" w:type="dxa"/>
              <w:right w:w="180" w:type="dxa"/>
            </w:tcMar>
            <w:hideMark/>
          </w:tcPr>
          <w:p w14:paraId="78470527"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579D97E9"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Talk to your manager.</w:t>
            </w:r>
          </w:p>
        </w:tc>
        <w:tc>
          <w:tcPr>
            <w:tcW w:w="6000" w:type="dxa"/>
            <w:vAlign w:val="center"/>
          </w:tcPr>
          <w:p w14:paraId="53D9B177" w14:textId="7F907F85"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直属の上司に相談します。</w:t>
            </w:r>
          </w:p>
        </w:tc>
      </w:tr>
      <w:tr w:rsidR="00C12BEE" w:rsidRPr="0075571B" w14:paraId="111A645A" w14:textId="77777777" w:rsidTr="00132601">
        <w:tc>
          <w:tcPr>
            <w:tcW w:w="1129" w:type="dxa"/>
            <w:shd w:val="clear" w:color="auto" w:fill="D9E2F3" w:themeFill="accent1" w:themeFillTint="33"/>
            <w:tcMar>
              <w:top w:w="120" w:type="dxa"/>
              <w:left w:w="180" w:type="dxa"/>
              <w:bottom w:w="120" w:type="dxa"/>
              <w:right w:w="180" w:type="dxa"/>
            </w:tcMar>
            <w:hideMark/>
          </w:tcPr>
          <w:p w14:paraId="21F896FF"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58C569AF"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28744F7E" w14:textId="6578FFC2"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状況について上司と話し合い、それが実際のまたは潜在的な利益相反かどうかを判断します。</w:t>
            </w:r>
          </w:p>
        </w:tc>
      </w:tr>
      <w:tr w:rsidR="00C12BEE" w:rsidRPr="0075571B" w14:paraId="07768653" w14:textId="77777777" w:rsidTr="00132601">
        <w:tc>
          <w:tcPr>
            <w:tcW w:w="1129" w:type="dxa"/>
            <w:shd w:val="clear" w:color="auto" w:fill="D9E2F3" w:themeFill="accent1" w:themeFillTint="33"/>
            <w:tcMar>
              <w:top w:w="120" w:type="dxa"/>
              <w:left w:w="180" w:type="dxa"/>
              <w:bottom w:w="120" w:type="dxa"/>
              <w:right w:w="180" w:type="dxa"/>
            </w:tcMar>
            <w:hideMark/>
          </w:tcPr>
          <w:p w14:paraId="3C88806D"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5BB3A41F"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If no conflict exists, you may proceed with the desired activity.</w:t>
            </w:r>
          </w:p>
        </w:tc>
        <w:tc>
          <w:tcPr>
            <w:tcW w:w="6000" w:type="dxa"/>
            <w:vAlign w:val="center"/>
          </w:tcPr>
          <w:p w14:paraId="15AC20E4" w14:textId="6DF8ABC9"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利益相反ではない場合、希望する活動を行うことができます。</w:t>
            </w:r>
          </w:p>
        </w:tc>
      </w:tr>
      <w:tr w:rsidR="00C12BEE" w:rsidRPr="0075571B" w14:paraId="6ADCD2DC" w14:textId="77777777" w:rsidTr="00132601">
        <w:tc>
          <w:tcPr>
            <w:tcW w:w="1129" w:type="dxa"/>
            <w:shd w:val="clear" w:color="auto" w:fill="D9E2F3" w:themeFill="accent1" w:themeFillTint="33"/>
            <w:tcMar>
              <w:top w:w="120" w:type="dxa"/>
              <w:left w:w="180" w:type="dxa"/>
              <w:bottom w:w="120" w:type="dxa"/>
              <w:right w:w="180" w:type="dxa"/>
            </w:tcMar>
            <w:hideMark/>
          </w:tcPr>
          <w:p w14:paraId="690BDA2B"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06BD906C"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If a conflict exists, you should proceed to Step 2.</w:t>
            </w:r>
          </w:p>
        </w:tc>
        <w:tc>
          <w:tcPr>
            <w:tcW w:w="6000" w:type="dxa"/>
            <w:vAlign w:val="center"/>
          </w:tcPr>
          <w:p w14:paraId="315A28D2" w14:textId="77E336F3"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利益相反である場合、ステップ2に進みます。</w:t>
            </w:r>
          </w:p>
        </w:tc>
      </w:tr>
      <w:tr w:rsidR="00C12BEE" w:rsidRPr="0075571B" w14:paraId="125A79BE" w14:textId="77777777" w:rsidTr="00132601">
        <w:tc>
          <w:tcPr>
            <w:tcW w:w="1129" w:type="dxa"/>
            <w:shd w:val="clear" w:color="auto" w:fill="D9E2F3" w:themeFill="accent1" w:themeFillTint="33"/>
            <w:tcMar>
              <w:top w:w="120" w:type="dxa"/>
              <w:left w:w="180" w:type="dxa"/>
              <w:bottom w:w="120" w:type="dxa"/>
              <w:right w:w="180" w:type="dxa"/>
            </w:tcMar>
            <w:hideMark/>
          </w:tcPr>
          <w:p w14:paraId="34922235"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65370E76"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STEP 2</w:t>
            </w:r>
          </w:p>
        </w:tc>
        <w:tc>
          <w:tcPr>
            <w:tcW w:w="6000" w:type="dxa"/>
            <w:vAlign w:val="center"/>
          </w:tcPr>
          <w:p w14:paraId="0C32C273" w14:textId="62C00F12"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ステップ2</w:t>
            </w:r>
          </w:p>
        </w:tc>
      </w:tr>
      <w:tr w:rsidR="00C12BEE" w:rsidRPr="0075571B" w14:paraId="0F5678F2" w14:textId="77777777" w:rsidTr="00132601">
        <w:tc>
          <w:tcPr>
            <w:tcW w:w="1129" w:type="dxa"/>
            <w:shd w:val="clear" w:color="auto" w:fill="D9E2F3" w:themeFill="accent1" w:themeFillTint="33"/>
            <w:tcMar>
              <w:top w:w="120" w:type="dxa"/>
              <w:left w:w="180" w:type="dxa"/>
              <w:bottom w:w="120" w:type="dxa"/>
              <w:right w:w="180" w:type="dxa"/>
            </w:tcMar>
            <w:hideMark/>
          </w:tcPr>
          <w:p w14:paraId="33FD17D6"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0F882DDC"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Consider possible actions to minimize or eliminate the conflict. </w:t>
            </w:r>
          </w:p>
        </w:tc>
        <w:tc>
          <w:tcPr>
            <w:tcW w:w="6000" w:type="dxa"/>
            <w:vAlign w:val="center"/>
          </w:tcPr>
          <w:p w14:paraId="7653FE7A" w14:textId="7D0F1D0C"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利益相反を最小化または排除するためにできる行動を検討します。</w:t>
            </w:r>
          </w:p>
        </w:tc>
      </w:tr>
      <w:tr w:rsidR="00C12BEE" w:rsidRPr="0075571B" w14:paraId="2B709A08" w14:textId="77777777" w:rsidTr="00132601">
        <w:tc>
          <w:tcPr>
            <w:tcW w:w="1129" w:type="dxa"/>
            <w:shd w:val="clear" w:color="auto" w:fill="D9E2F3" w:themeFill="accent1" w:themeFillTint="33"/>
            <w:tcMar>
              <w:top w:w="120" w:type="dxa"/>
              <w:left w:w="180" w:type="dxa"/>
              <w:bottom w:w="120" w:type="dxa"/>
              <w:right w:w="180" w:type="dxa"/>
            </w:tcMar>
            <w:hideMark/>
          </w:tcPr>
          <w:p w14:paraId="036AA1AD"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2CC92172"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If a conflict exists, you and your manager should take the time to consider possible actions that you can take to minimize or eliminate the conflict.</w:t>
            </w:r>
          </w:p>
        </w:tc>
        <w:tc>
          <w:tcPr>
            <w:tcW w:w="6000" w:type="dxa"/>
            <w:vAlign w:val="center"/>
          </w:tcPr>
          <w:p w14:paraId="3B14E3B6" w14:textId="47DA4AB2"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利益相反が存在する場合、上司と一緒に、利益相反を最小化または排除するためにできる行動を検討します。</w:t>
            </w:r>
          </w:p>
        </w:tc>
      </w:tr>
      <w:tr w:rsidR="00C12BEE" w:rsidRPr="0075571B" w14:paraId="44DE9DD9" w14:textId="77777777" w:rsidTr="00132601">
        <w:tc>
          <w:tcPr>
            <w:tcW w:w="1129" w:type="dxa"/>
            <w:shd w:val="clear" w:color="auto" w:fill="D9E2F3" w:themeFill="accent1" w:themeFillTint="33"/>
            <w:tcMar>
              <w:top w:w="120" w:type="dxa"/>
              <w:left w:w="180" w:type="dxa"/>
              <w:bottom w:w="120" w:type="dxa"/>
              <w:right w:w="180" w:type="dxa"/>
            </w:tcMar>
            <w:hideMark/>
          </w:tcPr>
          <w:p w14:paraId="19D1E16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23BFE9C2"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14776EB4" w14:textId="1C7079E4"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利益相反を最小化もしくは排除できない場合、上司は提案された活動を行わないよう指示します。</w:t>
            </w:r>
          </w:p>
        </w:tc>
      </w:tr>
      <w:tr w:rsidR="00C12BEE" w:rsidRPr="0075571B" w14:paraId="4C463A38" w14:textId="77777777" w:rsidTr="00132601">
        <w:tc>
          <w:tcPr>
            <w:tcW w:w="1129" w:type="dxa"/>
            <w:shd w:val="clear" w:color="auto" w:fill="D9E2F3" w:themeFill="accent1" w:themeFillTint="33"/>
            <w:tcMar>
              <w:top w:w="120" w:type="dxa"/>
              <w:left w:w="180" w:type="dxa"/>
              <w:bottom w:w="120" w:type="dxa"/>
              <w:right w:w="180" w:type="dxa"/>
            </w:tcMar>
            <w:hideMark/>
          </w:tcPr>
          <w:p w14:paraId="2B5A58FD"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44149C81"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If a conflict can be minimized or eliminated, you should proceed to Step 3.</w:t>
            </w:r>
          </w:p>
        </w:tc>
        <w:tc>
          <w:tcPr>
            <w:tcW w:w="6000" w:type="dxa"/>
            <w:vAlign w:val="center"/>
          </w:tcPr>
          <w:p w14:paraId="65C4DC59" w14:textId="2200D089"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利益相反を最小化もしくは排除できる場合は、ステップ3に進んでください。</w:t>
            </w:r>
          </w:p>
        </w:tc>
      </w:tr>
      <w:tr w:rsidR="00C12BEE" w:rsidRPr="0075571B" w14:paraId="38585D96" w14:textId="77777777" w:rsidTr="00132601">
        <w:tc>
          <w:tcPr>
            <w:tcW w:w="1129" w:type="dxa"/>
            <w:shd w:val="clear" w:color="auto" w:fill="D9E2F3" w:themeFill="accent1" w:themeFillTint="33"/>
            <w:tcMar>
              <w:top w:w="120" w:type="dxa"/>
              <w:left w:w="180" w:type="dxa"/>
              <w:bottom w:w="120" w:type="dxa"/>
              <w:right w:w="180" w:type="dxa"/>
            </w:tcMar>
            <w:hideMark/>
          </w:tcPr>
          <w:p w14:paraId="3D3441CC"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18CD0594"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STEP 3</w:t>
            </w:r>
          </w:p>
        </w:tc>
        <w:tc>
          <w:tcPr>
            <w:tcW w:w="6000" w:type="dxa"/>
            <w:vAlign w:val="center"/>
          </w:tcPr>
          <w:p w14:paraId="0C5BC9C6" w14:textId="144CCDCC"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ステップ3</w:t>
            </w:r>
          </w:p>
        </w:tc>
      </w:tr>
      <w:tr w:rsidR="00C12BEE" w:rsidRPr="0075571B" w14:paraId="56B79106" w14:textId="77777777" w:rsidTr="00132601">
        <w:tc>
          <w:tcPr>
            <w:tcW w:w="1129" w:type="dxa"/>
            <w:shd w:val="clear" w:color="auto" w:fill="D9E2F3" w:themeFill="accent1" w:themeFillTint="33"/>
            <w:tcMar>
              <w:top w:w="120" w:type="dxa"/>
              <w:left w:w="180" w:type="dxa"/>
              <w:bottom w:w="120" w:type="dxa"/>
              <w:right w:w="180" w:type="dxa"/>
            </w:tcMar>
            <w:hideMark/>
          </w:tcPr>
          <w:p w14:paraId="310B2739"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13EC867C"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Document your proposed actions to minimize or eliminate the conflict.</w:t>
            </w:r>
          </w:p>
        </w:tc>
        <w:tc>
          <w:tcPr>
            <w:tcW w:w="6000" w:type="dxa"/>
            <w:vAlign w:val="center"/>
          </w:tcPr>
          <w:p w14:paraId="73EFEF2D" w14:textId="617FBD29"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利益相反を最小化もしくは排除するために提案された行動を文書化します。</w:t>
            </w:r>
          </w:p>
        </w:tc>
      </w:tr>
      <w:tr w:rsidR="00C12BEE" w:rsidRPr="0075571B" w14:paraId="497BFA3A" w14:textId="77777777" w:rsidTr="00132601">
        <w:tc>
          <w:tcPr>
            <w:tcW w:w="1129" w:type="dxa"/>
            <w:shd w:val="clear" w:color="auto" w:fill="D9E2F3" w:themeFill="accent1" w:themeFillTint="33"/>
            <w:tcMar>
              <w:top w:w="120" w:type="dxa"/>
              <w:left w:w="180" w:type="dxa"/>
              <w:bottom w:w="120" w:type="dxa"/>
              <w:right w:w="180" w:type="dxa"/>
            </w:tcMar>
            <w:hideMark/>
          </w:tcPr>
          <w:p w14:paraId="5B4380CC"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47B10859"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If steps can be taken to minimize or eliminate the conflict of interest, you should document these actions in an </w:t>
            </w:r>
            <w:r w:rsidRPr="0075571B">
              <w:rPr>
                <w:rFonts w:ascii="Calibri" w:eastAsia="Times New Roman" w:hAnsi="Calibri" w:cs="Calibri"/>
                <w:i/>
                <w:iCs/>
                <w:lang w:val="en-US"/>
              </w:rPr>
              <w:t>Actual or Potential Conflict of Interest Approval Form</w:t>
            </w:r>
            <w:r w:rsidRPr="0075571B">
              <w:rPr>
                <w:rFonts w:ascii="Calibri" w:eastAsia="Times New Roman" w:hAnsi="Calibri" w:cs="Calibri"/>
                <w:lang w:val="en-US"/>
              </w:rPr>
              <w:t>. Once completed, the form must be approved and submitted via the Speak Up Helpline (speakup.abbott.com).</w:t>
            </w:r>
          </w:p>
        </w:tc>
        <w:tc>
          <w:tcPr>
            <w:tcW w:w="6000" w:type="dxa"/>
            <w:vAlign w:val="center"/>
          </w:tcPr>
          <w:p w14:paraId="6D9A09EF" w14:textId="7C88B49E"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利益相反を最小化もしくは排除するための手順を行える場合、それらの行動を</w:t>
            </w:r>
            <w:r w:rsidRPr="0075571B">
              <w:rPr>
                <w:rFonts w:ascii="MS UI Gothic" w:eastAsia="MS UI Gothic" w:hAnsi="MS UI Gothic" w:cs="MS UI Gothic"/>
                <w:i/>
                <w:iCs/>
                <w:lang w:val="en-US" w:eastAsia="ja-JP"/>
              </w:rPr>
              <w:t>実際もしくは潜在的な利益相反の承認フォーム</w:t>
            </w:r>
            <w:r w:rsidRPr="0075571B">
              <w:rPr>
                <w:rFonts w:ascii="MS UI Gothic" w:eastAsia="MS UI Gothic" w:hAnsi="MS UI Gothic" w:cs="MS UI Gothic"/>
                <w:lang w:val="en-US" w:eastAsia="ja-JP"/>
              </w:rPr>
              <w:t>として文書化します。完了したら、フォームは承認を受け、「スピークアップ」ヘルプライン（speakup.abbott.com）に提出しなければなりません。</w:t>
            </w:r>
          </w:p>
        </w:tc>
      </w:tr>
      <w:tr w:rsidR="00C12BEE" w:rsidRPr="0075571B" w14:paraId="5CC6FD84" w14:textId="77777777" w:rsidTr="00132601">
        <w:tc>
          <w:tcPr>
            <w:tcW w:w="1129" w:type="dxa"/>
            <w:shd w:val="clear" w:color="auto" w:fill="D9E2F3" w:themeFill="accent1" w:themeFillTint="33"/>
            <w:tcMar>
              <w:top w:w="120" w:type="dxa"/>
              <w:left w:w="180" w:type="dxa"/>
              <w:bottom w:w="120" w:type="dxa"/>
              <w:right w:w="180" w:type="dxa"/>
            </w:tcMar>
            <w:hideMark/>
          </w:tcPr>
          <w:p w14:paraId="343B6C32"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66B28DEF"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To submit a conflict of interest disclosure:</w:t>
            </w:r>
          </w:p>
        </w:tc>
        <w:tc>
          <w:tcPr>
            <w:tcW w:w="6000" w:type="dxa"/>
            <w:vAlign w:val="center"/>
          </w:tcPr>
          <w:p w14:paraId="6AFBE682" w14:textId="238612BA"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以下の手順に従い、利益相反の開示を提出してください。</w:t>
            </w:r>
          </w:p>
        </w:tc>
      </w:tr>
      <w:tr w:rsidR="00C12BEE" w:rsidRPr="0075571B" w14:paraId="0A787FD6" w14:textId="77777777" w:rsidTr="00132601">
        <w:tc>
          <w:tcPr>
            <w:tcW w:w="1129" w:type="dxa"/>
            <w:shd w:val="clear" w:color="auto" w:fill="D9E2F3" w:themeFill="accent1" w:themeFillTint="33"/>
            <w:tcMar>
              <w:top w:w="120" w:type="dxa"/>
              <w:left w:w="180" w:type="dxa"/>
              <w:bottom w:w="120" w:type="dxa"/>
              <w:right w:w="180" w:type="dxa"/>
            </w:tcMar>
            <w:hideMark/>
          </w:tcPr>
          <w:p w14:paraId="58F88732"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516765A0"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Access the speakup.abbott.com site.</w:t>
            </w:r>
          </w:p>
        </w:tc>
        <w:tc>
          <w:tcPr>
            <w:tcW w:w="6000" w:type="dxa"/>
            <w:vAlign w:val="center"/>
          </w:tcPr>
          <w:p w14:paraId="06B28A83" w14:textId="698930D3"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speakup.abbott.com Webサイトにアクセスします。</w:t>
            </w:r>
          </w:p>
        </w:tc>
      </w:tr>
      <w:tr w:rsidR="00C12BEE" w:rsidRPr="0075571B" w14:paraId="2EB7C8C0" w14:textId="77777777" w:rsidTr="00132601">
        <w:tc>
          <w:tcPr>
            <w:tcW w:w="1129" w:type="dxa"/>
            <w:shd w:val="clear" w:color="auto" w:fill="D9E2F3" w:themeFill="accent1" w:themeFillTint="33"/>
            <w:tcMar>
              <w:top w:w="120" w:type="dxa"/>
              <w:left w:w="180" w:type="dxa"/>
              <w:bottom w:w="120" w:type="dxa"/>
              <w:right w:w="180" w:type="dxa"/>
            </w:tcMar>
            <w:hideMark/>
          </w:tcPr>
          <w:p w14:paraId="4BCCE9B7"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0F2EFB6F"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Click the Conflict of Interest button.</w:t>
            </w:r>
          </w:p>
        </w:tc>
        <w:tc>
          <w:tcPr>
            <w:tcW w:w="6000" w:type="dxa"/>
            <w:vAlign w:val="center"/>
          </w:tcPr>
          <w:p w14:paraId="18707EA9" w14:textId="4F2304E3"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利益相反ボタンをクリックします。</w:t>
            </w:r>
          </w:p>
        </w:tc>
      </w:tr>
      <w:tr w:rsidR="00C12BEE" w:rsidRPr="0075571B" w14:paraId="3EA20476" w14:textId="77777777" w:rsidTr="00132601">
        <w:tc>
          <w:tcPr>
            <w:tcW w:w="1129" w:type="dxa"/>
            <w:shd w:val="clear" w:color="auto" w:fill="D9E2F3" w:themeFill="accent1" w:themeFillTint="33"/>
            <w:tcMar>
              <w:top w:w="120" w:type="dxa"/>
              <w:left w:w="180" w:type="dxa"/>
              <w:bottom w:w="120" w:type="dxa"/>
              <w:right w:w="180" w:type="dxa"/>
            </w:tcMar>
            <w:hideMark/>
          </w:tcPr>
          <w:p w14:paraId="5B9D3FCC"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3AA54AFA"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Fill out and submit the Conflict of Interest disclosure.</w:t>
            </w:r>
          </w:p>
        </w:tc>
        <w:tc>
          <w:tcPr>
            <w:tcW w:w="6000" w:type="dxa"/>
            <w:vAlign w:val="center"/>
          </w:tcPr>
          <w:p w14:paraId="723A38CD" w14:textId="0D7F6A6F"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利益相反の開示を記入して提出してください。</w:t>
            </w:r>
          </w:p>
        </w:tc>
      </w:tr>
      <w:tr w:rsidR="00C12BEE" w:rsidRPr="0075571B" w14:paraId="631065CA" w14:textId="77777777" w:rsidTr="00132601">
        <w:tc>
          <w:tcPr>
            <w:tcW w:w="1129" w:type="dxa"/>
            <w:shd w:val="clear" w:color="auto" w:fill="D9E2F3" w:themeFill="accent1" w:themeFillTint="33"/>
            <w:tcMar>
              <w:top w:w="120" w:type="dxa"/>
              <w:left w:w="180" w:type="dxa"/>
              <w:bottom w:w="120" w:type="dxa"/>
              <w:right w:w="180" w:type="dxa"/>
            </w:tcMar>
            <w:hideMark/>
          </w:tcPr>
          <w:p w14:paraId="68920399"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44A0F187" w14:textId="69D30CF8"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Click the Attach Manager’s Approval button and attach the scanned </w:t>
            </w:r>
            <w:r w:rsidRPr="0075571B">
              <w:rPr>
                <w:rFonts w:ascii="Calibri" w:eastAsia="Times New Roman" w:hAnsi="Calibri" w:cs="Calibri"/>
                <w:i/>
                <w:iCs/>
                <w:lang w:val="en-US"/>
              </w:rPr>
              <w:t>Actual or Potential Conflict of Interest Approval Form</w:t>
            </w:r>
            <w:r w:rsidRPr="0075571B">
              <w:rPr>
                <w:rFonts w:ascii="Calibri" w:eastAsia="Times New Roman" w:hAnsi="Calibri" w:cs="Calibri"/>
                <w:lang w:val="en-US"/>
              </w:rPr>
              <w:t xml:space="preserve">. </w:t>
            </w:r>
          </w:p>
        </w:tc>
        <w:tc>
          <w:tcPr>
            <w:tcW w:w="6000" w:type="dxa"/>
            <w:vAlign w:val="center"/>
          </w:tcPr>
          <w:p w14:paraId="6D5EA5ED" w14:textId="6C22E25D"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「上司の承認を添付」ボタンをクリックして、スキャンした</w:t>
            </w:r>
            <w:r w:rsidRPr="0075571B">
              <w:rPr>
                <w:rFonts w:ascii="MS UI Gothic" w:eastAsia="MS UI Gothic" w:hAnsi="MS UI Gothic" w:cs="MS UI Gothic"/>
                <w:i/>
                <w:iCs/>
                <w:lang w:val="en-US" w:eastAsia="ja-JP"/>
              </w:rPr>
              <w:t>実際もしくは潜在的な利益相反の承認フォーム</w:t>
            </w:r>
            <w:r w:rsidRPr="0075571B">
              <w:rPr>
                <w:rFonts w:ascii="MS UI Gothic" w:eastAsia="MS UI Gothic" w:hAnsi="MS UI Gothic" w:cs="MS UI Gothic"/>
                <w:lang w:val="en-US" w:eastAsia="ja-JP"/>
              </w:rPr>
              <w:t>を添付してください。</w:t>
            </w:r>
          </w:p>
        </w:tc>
      </w:tr>
      <w:tr w:rsidR="00C12BEE" w:rsidRPr="0075571B" w14:paraId="4C07E82E" w14:textId="77777777" w:rsidTr="00132601">
        <w:tc>
          <w:tcPr>
            <w:tcW w:w="1129" w:type="dxa"/>
            <w:shd w:val="clear" w:color="auto" w:fill="D9E2F3" w:themeFill="accent1" w:themeFillTint="33"/>
            <w:tcMar>
              <w:top w:w="120" w:type="dxa"/>
              <w:left w:w="180" w:type="dxa"/>
              <w:bottom w:w="120" w:type="dxa"/>
              <w:right w:w="180" w:type="dxa"/>
            </w:tcMar>
            <w:hideMark/>
          </w:tcPr>
          <w:p w14:paraId="071DD76B"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1EDDDFF7"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Once approved, you may proceed with the desired activity. </w:t>
            </w:r>
          </w:p>
        </w:tc>
        <w:tc>
          <w:tcPr>
            <w:tcW w:w="6000" w:type="dxa"/>
            <w:vAlign w:val="center"/>
          </w:tcPr>
          <w:p w14:paraId="40E5D422" w14:textId="1152F2EA"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ひとたび承認を受けたら、希望する活動を行うことができます。</w:t>
            </w:r>
          </w:p>
        </w:tc>
      </w:tr>
      <w:tr w:rsidR="00C12BEE" w:rsidRPr="0075571B" w14:paraId="0604B1C7" w14:textId="77777777" w:rsidTr="00132601">
        <w:tc>
          <w:tcPr>
            <w:tcW w:w="1129" w:type="dxa"/>
            <w:shd w:val="clear" w:color="auto" w:fill="D9E2F3" w:themeFill="accent1" w:themeFillTint="33"/>
            <w:tcMar>
              <w:top w:w="120" w:type="dxa"/>
              <w:left w:w="180" w:type="dxa"/>
              <w:bottom w:w="120" w:type="dxa"/>
              <w:right w:w="180" w:type="dxa"/>
            </w:tcMar>
            <w:hideMark/>
          </w:tcPr>
          <w:p w14:paraId="6662FFA8"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7EF6ACCA" w14:textId="5DA2720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To report another employee’s actual or potential conflict of interest via the Speak Up Helpline, simply click the Raise a Concern button on the Speak Up Helpline and follow the onscreen instructions.</w:t>
            </w:r>
          </w:p>
        </w:tc>
        <w:tc>
          <w:tcPr>
            <w:tcW w:w="6000" w:type="dxa"/>
            <w:vAlign w:val="center"/>
          </w:tcPr>
          <w:p w14:paraId="584FBCA4" w14:textId="363DA87D"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他の従業員の実際のまたは潜在的な利益相反を「スピークアップ」ヘルプラインで報告するには、「スピークアップ」ヘルプラインの「懸念を提起」ボタンをクリックし、画面上の指示に従ってください。</w:t>
            </w:r>
          </w:p>
        </w:tc>
      </w:tr>
      <w:tr w:rsidR="00C12BEE" w:rsidRPr="0075571B" w14:paraId="320B5C3F" w14:textId="77777777" w:rsidTr="00132601">
        <w:tc>
          <w:tcPr>
            <w:tcW w:w="1129" w:type="dxa"/>
            <w:shd w:val="clear" w:color="auto" w:fill="D9E2F3" w:themeFill="accent1" w:themeFillTint="33"/>
            <w:tcMar>
              <w:top w:w="120" w:type="dxa"/>
              <w:left w:w="180" w:type="dxa"/>
              <w:bottom w:w="120" w:type="dxa"/>
              <w:right w:w="180" w:type="dxa"/>
            </w:tcMar>
            <w:hideMark/>
          </w:tcPr>
          <w:p w14:paraId="2F27F280"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2A8ED425"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The </w:t>
            </w:r>
            <w:r w:rsidRPr="0075571B">
              <w:rPr>
                <w:rFonts w:ascii="Calibri" w:eastAsia="Times New Roman" w:hAnsi="Calibri" w:cs="Calibri"/>
                <w:i/>
                <w:iCs/>
                <w:lang w:val="en-US"/>
              </w:rPr>
              <w:t>Conflicts of Interest Certification</w:t>
            </w:r>
            <w:r w:rsidRPr="0075571B">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446D5965" w14:textId="7675A710"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i/>
                <w:iCs/>
                <w:lang w:val="en-US" w:eastAsia="ja-JP"/>
              </w:rPr>
              <w:t>利益相反証明</w:t>
            </w:r>
            <w:r w:rsidRPr="0075571B">
              <w:rPr>
                <w:rFonts w:ascii="MS UI Gothic" w:eastAsia="MS UI Gothic" w:hAnsi="MS UI Gothic" w:cs="MS UI Gothic"/>
                <w:lang w:val="en-US" w:eastAsia="ja-JP"/>
              </w:rPr>
              <w:t>は、以前に経営陣に承認されず、OECに報告されていない利益相反を特定するために作成されています。</w:t>
            </w:r>
          </w:p>
        </w:tc>
      </w:tr>
      <w:tr w:rsidR="00C12BEE" w:rsidRPr="0075571B" w14:paraId="7237E47E" w14:textId="77777777" w:rsidTr="00132601">
        <w:tc>
          <w:tcPr>
            <w:tcW w:w="1129" w:type="dxa"/>
            <w:shd w:val="clear" w:color="auto" w:fill="D9E2F3" w:themeFill="accent1" w:themeFillTint="33"/>
            <w:tcMar>
              <w:top w:w="120" w:type="dxa"/>
              <w:left w:w="180" w:type="dxa"/>
              <w:bottom w:w="120" w:type="dxa"/>
              <w:right w:w="180" w:type="dxa"/>
            </w:tcMar>
            <w:hideMark/>
          </w:tcPr>
          <w:p w14:paraId="78DEAD95"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11B61F06"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REVIEW</w:t>
            </w:r>
          </w:p>
        </w:tc>
        <w:tc>
          <w:tcPr>
            <w:tcW w:w="6000" w:type="dxa"/>
            <w:vAlign w:val="center"/>
          </w:tcPr>
          <w:p w14:paraId="12D0E041" w14:textId="1A9700FC"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確認</w:t>
            </w:r>
          </w:p>
        </w:tc>
      </w:tr>
      <w:tr w:rsidR="00C12BEE" w:rsidRPr="0075571B" w14:paraId="42D28325" w14:textId="77777777" w:rsidTr="00132601">
        <w:tc>
          <w:tcPr>
            <w:tcW w:w="1129" w:type="dxa"/>
            <w:shd w:val="clear" w:color="auto" w:fill="D9E2F3" w:themeFill="accent1" w:themeFillTint="33"/>
            <w:tcMar>
              <w:top w:w="120" w:type="dxa"/>
              <w:left w:w="180" w:type="dxa"/>
              <w:bottom w:w="120" w:type="dxa"/>
              <w:right w:w="180" w:type="dxa"/>
            </w:tcMar>
          </w:tcPr>
          <w:p w14:paraId="310B206F" w14:textId="4832264F"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12E815CC" w14:textId="6A770863"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Arial Unicode MS" w:hAnsi="Calibri" w:cs="Calibri"/>
                <w:lang w:val="en-IE"/>
              </w:rPr>
              <w:t>Take a moment to review some of the key concepts in this section.</w:t>
            </w:r>
          </w:p>
        </w:tc>
        <w:tc>
          <w:tcPr>
            <w:tcW w:w="6000" w:type="dxa"/>
            <w:vAlign w:val="center"/>
          </w:tcPr>
          <w:p w14:paraId="6C98F3EC" w14:textId="2E0D73E1"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IE" w:eastAsia="ja-JP"/>
              </w:rPr>
              <w:t>このセクションの主要なコンセプトを確認してみましょう。</w:t>
            </w:r>
          </w:p>
        </w:tc>
      </w:tr>
      <w:tr w:rsidR="00C12BEE" w:rsidRPr="0075571B" w14:paraId="4E6691EF" w14:textId="77777777" w:rsidTr="00132601">
        <w:tc>
          <w:tcPr>
            <w:tcW w:w="1129" w:type="dxa"/>
            <w:shd w:val="clear" w:color="auto" w:fill="D9E2F3" w:themeFill="accent1" w:themeFillTint="33"/>
            <w:tcMar>
              <w:top w:w="120" w:type="dxa"/>
              <w:left w:w="180" w:type="dxa"/>
              <w:bottom w:w="120" w:type="dxa"/>
              <w:right w:w="180" w:type="dxa"/>
            </w:tcMar>
            <w:hideMark/>
          </w:tcPr>
          <w:p w14:paraId="6545AF88"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3D6BD4B1"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SELF-DISCLOSING A CONFLICT: STEP 1</w:t>
            </w:r>
          </w:p>
        </w:tc>
        <w:tc>
          <w:tcPr>
            <w:tcW w:w="6000" w:type="dxa"/>
            <w:vAlign w:val="center"/>
          </w:tcPr>
          <w:p w14:paraId="6CCB4D6F" w14:textId="55233848"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利益相反の自己開示：ステップ1</w:t>
            </w:r>
          </w:p>
        </w:tc>
      </w:tr>
      <w:tr w:rsidR="00C12BEE" w:rsidRPr="0075571B" w14:paraId="79ED39E1" w14:textId="77777777" w:rsidTr="00132601">
        <w:tc>
          <w:tcPr>
            <w:tcW w:w="1129" w:type="dxa"/>
            <w:shd w:val="clear" w:color="auto" w:fill="D9E2F3" w:themeFill="accent1" w:themeFillTint="33"/>
            <w:tcMar>
              <w:top w:w="120" w:type="dxa"/>
              <w:left w:w="180" w:type="dxa"/>
              <w:bottom w:w="120" w:type="dxa"/>
              <w:right w:w="180" w:type="dxa"/>
            </w:tcMar>
            <w:hideMark/>
          </w:tcPr>
          <w:p w14:paraId="4FF96C58"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2EBE42BD"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Talk to your manager to determine whether you have an actual or potential conflict of interest. If no conflict exists, you may proceed with the desired activity.</w:t>
            </w:r>
          </w:p>
        </w:tc>
        <w:tc>
          <w:tcPr>
            <w:tcW w:w="6000" w:type="dxa"/>
            <w:vAlign w:val="center"/>
          </w:tcPr>
          <w:p w14:paraId="54130D2C" w14:textId="43330F2D"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実際のまたは潜在的な利益相反を抱えているかどうかを判断するため、上司に相談します。利益相反ではない場合、希望する活動を行うことができます。</w:t>
            </w:r>
          </w:p>
        </w:tc>
      </w:tr>
      <w:tr w:rsidR="00C12BEE" w:rsidRPr="0075571B" w14:paraId="459EAD05" w14:textId="77777777" w:rsidTr="00132601">
        <w:tc>
          <w:tcPr>
            <w:tcW w:w="1129" w:type="dxa"/>
            <w:shd w:val="clear" w:color="auto" w:fill="D9E2F3" w:themeFill="accent1" w:themeFillTint="33"/>
            <w:tcMar>
              <w:top w:w="120" w:type="dxa"/>
              <w:left w:w="180" w:type="dxa"/>
              <w:bottom w:w="120" w:type="dxa"/>
              <w:right w:w="180" w:type="dxa"/>
            </w:tcMar>
            <w:hideMark/>
          </w:tcPr>
          <w:p w14:paraId="1CD27855"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515F17A4"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SELF-DISCLOSING A CONFLICT: STEP 2</w:t>
            </w:r>
          </w:p>
        </w:tc>
        <w:tc>
          <w:tcPr>
            <w:tcW w:w="6000" w:type="dxa"/>
            <w:vAlign w:val="center"/>
          </w:tcPr>
          <w:p w14:paraId="481AC259" w14:textId="18DA1634"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利益相反の自己開示：ステップ2</w:t>
            </w:r>
          </w:p>
        </w:tc>
      </w:tr>
      <w:tr w:rsidR="00C12BEE" w:rsidRPr="0075571B" w14:paraId="44B7C883" w14:textId="77777777" w:rsidTr="00132601">
        <w:tc>
          <w:tcPr>
            <w:tcW w:w="1129" w:type="dxa"/>
            <w:shd w:val="clear" w:color="auto" w:fill="D9E2F3" w:themeFill="accent1" w:themeFillTint="33"/>
            <w:tcMar>
              <w:top w:w="120" w:type="dxa"/>
              <w:left w:w="180" w:type="dxa"/>
              <w:bottom w:w="120" w:type="dxa"/>
              <w:right w:w="180" w:type="dxa"/>
            </w:tcMar>
            <w:hideMark/>
          </w:tcPr>
          <w:p w14:paraId="736066BD"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54525D44"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If a conflict exists, you and your manager should take the time to consider possible actions that you can take to minimize or eliminate the conflict. If the conflict cannot be minimized or eliminated, DO NOT PROCEED with the proposed activity.</w:t>
            </w:r>
          </w:p>
        </w:tc>
        <w:tc>
          <w:tcPr>
            <w:tcW w:w="6000" w:type="dxa"/>
            <w:vAlign w:val="center"/>
          </w:tcPr>
          <w:p w14:paraId="76D0D63D" w14:textId="01928F1A"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利益相反が存在する場合、上司と一緒に、利益相反を最小化または排除するためにできる行動を検討します。利益相反を最小化もしくは排除できない場合、提案された活動を行わないでください。</w:t>
            </w:r>
          </w:p>
        </w:tc>
      </w:tr>
      <w:tr w:rsidR="00C12BEE" w:rsidRPr="0075571B" w14:paraId="007DE9BB" w14:textId="77777777" w:rsidTr="00132601">
        <w:tc>
          <w:tcPr>
            <w:tcW w:w="1129" w:type="dxa"/>
            <w:shd w:val="clear" w:color="auto" w:fill="D9E2F3" w:themeFill="accent1" w:themeFillTint="33"/>
            <w:tcMar>
              <w:top w:w="120" w:type="dxa"/>
              <w:left w:w="180" w:type="dxa"/>
              <w:bottom w:w="120" w:type="dxa"/>
              <w:right w:w="180" w:type="dxa"/>
            </w:tcMar>
            <w:hideMark/>
          </w:tcPr>
          <w:p w14:paraId="59942839"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23D7FC5C"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SELF-DISCLOSING A CONFLICT: STEP 3</w:t>
            </w:r>
          </w:p>
        </w:tc>
        <w:tc>
          <w:tcPr>
            <w:tcW w:w="6000" w:type="dxa"/>
            <w:vAlign w:val="center"/>
          </w:tcPr>
          <w:p w14:paraId="2FF90D3F" w14:textId="6E88937C"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利益相反の自己開示：ステップ3</w:t>
            </w:r>
          </w:p>
        </w:tc>
      </w:tr>
      <w:tr w:rsidR="00C12BEE" w:rsidRPr="0075571B" w14:paraId="04ABEE98" w14:textId="77777777" w:rsidTr="00132601">
        <w:tc>
          <w:tcPr>
            <w:tcW w:w="1129" w:type="dxa"/>
            <w:shd w:val="clear" w:color="auto" w:fill="D9E2F3" w:themeFill="accent1" w:themeFillTint="33"/>
            <w:tcMar>
              <w:top w:w="120" w:type="dxa"/>
              <w:left w:w="180" w:type="dxa"/>
              <w:bottom w:w="120" w:type="dxa"/>
              <w:right w:w="180" w:type="dxa"/>
            </w:tcMar>
            <w:hideMark/>
          </w:tcPr>
          <w:p w14:paraId="797C551D"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31DA43DB"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If steps can be taken to minimize or eliminate the conflict of interest, you should document these actions in an Actual or Potential Conflict of Interest Approval Form and submit it via the Speak Up Helpline.</w:t>
            </w:r>
          </w:p>
        </w:tc>
        <w:tc>
          <w:tcPr>
            <w:tcW w:w="6000" w:type="dxa"/>
            <w:vAlign w:val="center"/>
          </w:tcPr>
          <w:p w14:paraId="1D69F36A" w14:textId="088F0159"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利益相反を最小化もしくは排除するための手順を行える場合、それらの行動を実際もしくは潜在的な利益相反の承認フォームとして文書化し、「スピークアップ」ヘルプラインで提出します。</w:t>
            </w:r>
          </w:p>
        </w:tc>
      </w:tr>
      <w:tr w:rsidR="00C12BEE" w:rsidRPr="0075571B" w14:paraId="69B2D025" w14:textId="77777777" w:rsidTr="00132601">
        <w:tc>
          <w:tcPr>
            <w:tcW w:w="1129" w:type="dxa"/>
            <w:shd w:val="clear" w:color="auto" w:fill="D9E2F3" w:themeFill="accent1" w:themeFillTint="33"/>
            <w:tcMar>
              <w:top w:w="120" w:type="dxa"/>
              <w:left w:w="180" w:type="dxa"/>
              <w:bottom w:w="120" w:type="dxa"/>
              <w:right w:w="180" w:type="dxa"/>
            </w:tcMar>
            <w:hideMark/>
          </w:tcPr>
          <w:p w14:paraId="52ED02D4"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69924F09"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REPORTING CONFLICTS INVOLVING OTHERS</w:t>
            </w:r>
          </w:p>
        </w:tc>
        <w:tc>
          <w:tcPr>
            <w:tcW w:w="6000" w:type="dxa"/>
            <w:vAlign w:val="center"/>
          </w:tcPr>
          <w:p w14:paraId="2CEF0C2C" w14:textId="713377BD"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他者が関与する利益相反の報告</w:t>
            </w:r>
          </w:p>
        </w:tc>
      </w:tr>
      <w:tr w:rsidR="00C12BEE" w:rsidRPr="0075571B" w14:paraId="15785167" w14:textId="77777777" w:rsidTr="00132601">
        <w:tc>
          <w:tcPr>
            <w:tcW w:w="1129" w:type="dxa"/>
            <w:shd w:val="clear" w:color="auto" w:fill="D9E2F3" w:themeFill="accent1" w:themeFillTint="33"/>
            <w:tcMar>
              <w:top w:w="120" w:type="dxa"/>
              <w:left w:w="180" w:type="dxa"/>
              <w:bottom w:w="120" w:type="dxa"/>
              <w:right w:w="180" w:type="dxa"/>
            </w:tcMar>
            <w:hideMark/>
          </w:tcPr>
          <w:p w14:paraId="0BE80552"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5F20C127"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If you become aware of an actual or potential conflict of interest involving another employee or employees, you should report the conflict to your manager, the OEC, HR, Legal, or through the Speak Up Helpline (speakup.abbott.com). </w:t>
            </w:r>
          </w:p>
        </w:tc>
        <w:tc>
          <w:tcPr>
            <w:tcW w:w="6000" w:type="dxa"/>
            <w:vAlign w:val="center"/>
          </w:tcPr>
          <w:p w14:paraId="069ECF03" w14:textId="5E8587A4"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別の従業員が関与した実際もしくは潜在的な利益相反について認識した場合は、自分の上司、OEC、人事部、法務部、もしくはスピークアップヘルプライン（speakup.abbott.com）を介してそれを報告しなくてはいけません。</w:t>
            </w:r>
          </w:p>
        </w:tc>
      </w:tr>
      <w:tr w:rsidR="00C12BEE" w:rsidRPr="0075571B" w14:paraId="53C311DB" w14:textId="77777777" w:rsidTr="00132601">
        <w:tc>
          <w:tcPr>
            <w:tcW w:w="1129" w:type="dxa"/>
            <w:shd w:val="clear" w:color="auto" w:fill="D9E2F3" w:themeFill="accent1" w:themeFillTint="33"/>
            <w:tcMar>
              <w:top w:w="120" w:type="dxa"/>
              <w:left w:w="180" w:type="dxa"/>
              <w:bottom w:w="120" w:type="dxa"/>
              <w:right w:w="180" w:type="dxa"/>
            </w:tcMar>
            <w:hideMark/>
          </w:tcPr>
          <w:p w14:paraId="43D78F72"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3FA6D6A4"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ANNUAL CONFLICTS OF INTEREST CERTIFICATION</w:t>
            </w:r>
          </w:p>
        </w:tc>
        <w:tc>
          <w:tcPr>
            <w:tcW w:w="6000" w:type="dxa"/>
            <w:vAlign w:val="center"/>
          </w:tcPr>
          <w:p w14:paraId="7E851D54" w14:textId="43B193B1"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年に一度の利益相反証明</w:t>
            </w:r>
          </w:p>
        </w:tc>
      </w:tr>
      <w:tr w:rsidR="00C12BEE" w:rsidRPr="0075571B" w14:paraId="53C6F8CC" w14:textId="77777777" w:rsidTr="00132601">
        <w:tc>
          <w:tcPr>
            <w:tcW w:w="1129" w:type="dxa"/>
            <w:shd w:val="clear" w:color="auto" w:fill="D9E2F3" w:themeFill="accent1" w:themeFillTint="33"/>
            <w:tcMar>
              <w:top w:w="120" w:type="dxa"/>
              <w:left w:w="180" w:type="dxa"/>
              <w:bottom w:w="120" w:type="dxa"/>
              <w:right w:w="180" w:type="dxa"/>
            </w:tcMar>
            <w:hideMark/>
          </w:tcPr>
          <w:p w14:paraId="7D90DF96"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39DE8650"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28D3789D" w14:textId="0E7BC379"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毎年行われる利益相反証明を通じて、自身の利益相反の開示ならびにほかの従業員の利益相反の報告ができます。</w:t>
            </w:r>
          </w:p>
        </w:tc>
      </w:tr>
      <w:tr w:rsidR="00C12BEE" w:rsidRPr="0075571B" w14:paraId="1946C635" w14:textId="77777777" w:rsidTr="00132601">
        <w:tc>
          <w:tcPr>
            <w:tcW w:w="1129" w:type="dxa"/>
            <w:shd w:val="clear" w:color="auto" w:fill="D9E2F3" w:themeFill="accent1" w:themeFillTint="33"/>
            <w:tcMar>
              <w:top w:w="120" w:type="dxa"/>
              <w:left w:w="180" w:type="dxa"/>
              <w:bottom w:w="120" w:type="dxa"/>
              <w:right w:w="180" w:type="dxa"/>
            </w:tcMar>
            <w:hideMark/>
          </w:tcPr>
          <w:p w14:paraId="13439B2E"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23A4EADC"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WHERE TO GO FOR HELP AND SUPPORT</w:t>
            </w:r>
          </w:p>
        </w:tc>
        <w:tc>
          <w:tcPr>
            <w:tcW w:w="6000" w:type="dxa"/>
            <w:vAlign w:val="center"/>
          </w:tcPr>
          <w:p w14:paraId="08D2C7C7" w14:textId="3D06A816"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ヘルプとサポートへのアクセス方法</w:t>
            </w:r>
          </w:p>
        </w:tc>
      </w:tr>
      <w:tr w:rsidR="00C12BEE" w:rsidRPr="0075571B" w14:paraId="0DAD6381" w14:textId="77777777" w:rsidTr="00132601">
        <w:tc>
          <w:tcPr>
            <w:tcW w:w="1129" w:type="dxa"/>
            <w:shd w:val="clear" w:color="auto" w:fill="D9E2F3" w:themeFill="accent1" w:themeFillTint="33"/>
            <w:tcMar>
              <w:top w:w="120" w:type="dxa"/>
              <w:left w:w="180" w:type="dxa"/>
              <w:bottom w:w="120" w:type="dxa"/>
              <w:right w:w="180" w:type="dxa"/>
            </w:tcMar>
            <w:hideMark/>
          </w:tcPr>
          <w:p w14:paraId="4B2E9979"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55C295F7"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If you have an actual or potential conflict of interest, or if you are unsure, or have questions about conflicts of interest, speak to your manager, the OEC, HR, or Legal.</w:t>
            </w:r>
          </w:p>
        </w:tc>
        <w:tc>
          <w:tcPr>
            <w:tcW w:w="6000" w:type="dxa"/>
            <w:vAlign w:val="center"/>
          </w:tcPr>
          <w:p w14:paraId="25000ADC" w14:textId="436B377F"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実際もしくは潜在的な利益相反を抱えているか、それがはっきりわからない場合、あるいは利益相反について質問がある場合は、上司、OEC、HR、法務に相談してください。</w:t>
            </w:r>
          </w:p>
        </w:tc>
      </w:tr>
      <w:tr w:rsidR="00C12BEE" w:rsidRPr="0075571B" w14:paraId="180CB6D4" w14:textId="77777777" w:rsidTr="00132601">
        <w:tc>
          <w:tcPr>
            <w:tcW w:w="1129" w:type="dxa"/>
            <w:shd w:val="clear" w:color="auto" w:fill="D9E2F3" w:themeFill="accent1" w:themeFillTint="33"/>
            <w:tcMar>
              <w:top w:w="120" w:type="dxa"/>
              <w:left w:w="180" w:type="dxa"/>
              <w:bottom w:w="120" w:type="dxa"/>
              <w:right w:w="180" w:type="dxa"/>
            </w:tcMar>
            <w:hideMark/>
          </w:tcPr>
          <w:p w14:paraId="4FCF0D93"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5548A5B4"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You have completed section {a} of {b}</w:t>
            </w:r>
          </w:p>
        </w:tc>
        <w:tc>
          <w:tcPr>
            <w:tcW w:w="6000" w:type="dxa"/>
            <w:vAlign w:val="center"/>
          </w:tcPr>
          <w:p w14:paraId="5F09DA68" w14:textId="033CE55F"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セクション{b}の{a}を修了しました。</w:t>
            </w:r>
          </w:p>
        </w:tc>
      </w:tr>
      <w:tr w:rsidR="00C12BEE" w:rsidRPr="0075571B" w14:paraId="16D94FEF" w14:textId="77777777" w:rsidTr="00132601">
        <w:tc>
          <w:tcPr>
            <w:tcW w:w="1129" w:type="dxa"/>
            <w:shd w:val="clear" w:color="auto" w:fill="D9E2F3" w:themeFill="accent1" w:themeFillTint="33"/>
            <w:tcMar>
              <w:top w:w="120" w:type="dxa"/>
              <w:left w:w="180" w:type="dxa"/>
              <w:bottom w:w="120" w:type="dxa"/>
              <w:right w:w="180" w:type="dxa"/>
            </w:tcMar>
            <w:hideMark/>
          </w:tcPr>
          <w:p w14:paraId="3ACE9DD6"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2389E4C6"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CLICK THE FORWARD ARROW TO CONTINUE LEARNING</w:t>
            </w:r>
          </w:p>
        </w:tc>
        <w:tc>
          <w:tcPr>
            <w:tcW w:w="6000" w:type="dxa"/>
            <w:vAlign w:val="center"/>
          </w:tcPr>
          <w:p w14:paraId="7C1A4516" w14:textId="52382602"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学習を続行するには、次へ進む矢印をクリックしてください</w:t>
            </w:r>
          </w:p>
        </w:tc>
      </w:tr>
      <w:tr w:rsidR="00C12BEE" w:rsidRPr="0075571B" w14:paraId="1C64092A" w14:textId="77777777" w:rsidTr="00635D6B">
        <w:tc>
          <w:tcPr>
            <w:tcW w:w="1129" w:type="dxa"/>
            <w:shd w:val="clear" w:color="auto" w:fill="D9E2F3" w:themeFill="accent1" w:themeFillTint="33"/>
            <w:tcMar>
              <w:top w:w="120" w:type="dxa"/>
              <w:left w:w="180" w:type="dxa"/>
              <w:bottom w:w="120" w:type="dxa"/>
              <w:right w:w="180" w:type="dxa"/>
            </w:tcMar>
          </w:tcPr>
          <w:p w14:paraId="1C5D14EA" w14:textId="68F37A62"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39F8184B" w14:textId="2F267D28"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Calibri" w:hAnsi="Calibri"/>
                <w:lang w:val="en-IE"/>
              </w:rPr>
              <w:t>Click the arrow to begin your review.</w:t>
            </w:r>
          </w:p>
        </w:tc>
        <w:tc>
          <w:tcPr>
            <w:tcW w:w="6000" w:type="dxa"/>
          </w:tcPr>
          <w:p w14:paraId="7DC8D36D" w14:textId="4F16F2EB"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IE" w:eastAsia="ja-JP"/>
              </w:rPr>
              <w:t>矢印をクリックして、確認を開始してください。</w:t>
            </w:r>
          </w:p>
        </w:tc>
      </w:tr>
      <w:tr w:rsidR="00C12BEE" w:rsidRPr="0075571B" w14:paraId="0676FCF3" w14:textId="77777777" w:rsidTr="00635D6B">
        <w:tc>
          <w:tcPr>
            <w:tcW w:w="1129" w:type="dxa"/>
            <w:shd w:val="clear" w:color="auto" w:fill="D9E2F3" w:themeFill="accent1" w:themeFillTint="33"/>
            <w:tcMar>
              <w:top w:w="120" w:type="dxa"/>
              <w:left w:w="180" w:type="dxa"/>
              <w:bottom w:w="120" w:type="dxa"/>
              <w:right w:w="180" w:type="dxa"/>
            </w:tcMar>
          </w:tcPr>
          <w:p w14:paraId="44C060CE" w14:textId="5B00CB4C"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234EA2CB" w14:textId="01F172E4" w:rsidR="00B4426F" w:rsidRPr="0075571B" w:rsidRDefault="0075571B" w:rsidP="00B4426F">
            <w:pPr>
              <w:ind w:left="-57"/>
              <w:rPr>
                <w:rFonts w:ascii="Calibri" w:hAnsi="Calibri"/>
                <w:smallCaps/>
                <w:color w:val="4F6228"/>
                <w:lang w:val="en-IE"/>
              </w:rPr>
            </w:pPr>
            <w:r w:rsidRPr="0075571B">
              <w:rPr>
                <w:rFonts w:ascii="Calibri" w:eastAsia="Calibri" w:hAnsi="Calibri"/>
                <w:lang w:val="en-IE"/>
              </w:rPr>
              <w:t>To check your progress, click the Menu button.</w:t>
            </w:r>
          </w:p>
        </w:tc>
        <w:tc>
          <w:tcPr>
            <w:tcW w:w="6000" w:type="dxa"/>
          </w:tcPr>
          <w:p w14:paraId="1AC80510" w14:textId="3E720A32"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IE" w:eastAsia="ja-JP"/>
              </w:rPr>
              <w:t>進捗状況をチェックするには、「メニュー」ボタンをクリックしてください。</w:t>
            </w:r>
          </w:p>
        </w:tc>
      </w:tr>
      <w:tr w:rsidR="00C12BEE" w:rsidRPr="0075571B" w14:paraId="1CEC3A9D" w14:textId="77777777" w:rsidTr="00132601">
        <w:tc>
          <w:tcPr>
            <w:tcW w:w="1129" w:type="dxa"/>
            <w:shd w:val="clear" w:color="auto" w:fill="D9E2F3" w:themeFill="accent1" w:themeFillTint="33"/>
            <w:tcMar>
              <w:top w:w="120" w:type="dxa"/>
              <w:left w:w="180" w:type="dxa"/>
              <w:bottom w:w="120" w:type="dxa"/>
              <w:right w:w="180" w:type="dxa"/>
            </w:tcMar>
            <w:hideMark/>
          </w:tcPr>
          <w:p w14:paraId="29DC4FE1"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03F12C3B"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WHERE TO GET HELP</w:t>
            </w:r>
          </w:p>
        </w:tc>
        <w:tc>
          <w:tcPr>
            <w:tcW w:w="6000" w:type="dxa"/>
            <w:vAlign w:val="center"/>
          </w:tcPr>
          <w:p w14:paraId="563A7D78" w14:textId="37FDFE6D"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サポートを受ける場所</w:t>
            </w:r>
          </w:p>
        </w:tc>
      </w:tr>
      <w:tr w:rsidR="00C12BEE" w:rsidRPr="0075571B" w14:paraId="65A70880" w14:textId="77777777" w:rsidTr="00132601">
        <w:tc>
          <w:tcPr>
            <w:tcW w:w="1129" w:type="dxa"/>
            <w:shd w:val="clear" w:color="auto" w:fill="D9E2F3" w:themeFill="accent1" w:themeFillTint="33"/>
            <w:tcMar>
              <w:top w:w="120" w:type="dxa"/>
              <w:left w:w="180" w:type="dxa"/>
              <w:bottom w:w="120" w:type="dxa"/>
              <w:right w:w="180" w:type="dxa"/>
            </w:tcMar>
            <w:hideMark/>
          </w:tcPr>
          <w:p w14:paraId="2D916098"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3D336C9A" w14:textId="20B43090"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Visit iComply Compliance Contacts page on the </w:t>
            </w:r>
            <w:hyperlink r:id="rId4" w:history="1">
              <w:r w:rsidRPr="0075571B">
                <w:rPr>
                  <w:rStyle w:val="Hyperlink"/>
                  <w:rFonts w:ascii="Calibri" w:eastAsia="Times New Roman" w:hAnsi="Calibri" w:cs="Calibri"/>
                  <w:lang w:val="en-US"/>
                </w:rPr>
                <w:t>OEC website</w:t>
              </w:r>
            </w:hyperlink>
            <w:r w:rsidRPr="0075571B">
              <w:rPr>
                <w:rFonts w:ascii="Calibri" w:eastAsia="Times New Roman" w:hAnsi="Calibri" w:cs="Calibri"/>
                <w:lang w:val="en-US"/>
              </w:rPr>
              <w:t xml:space="preserve"> on Abbott World. </w:t>
            </w:r>
          </w:p>
        </w:tc>
        <w:tc>
          <w:tcPr>
            <w:tcW w:w="6000" w:type="dxa"/>
            <w:vAlign w:val="center"/>
          </w:tcPr>
          <w:p w14:paraId="78DA316D" w14:textId="26166268"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Abbott Worldの</w:t>
            </w:r>
            <w:hyperlink r:id="rId5" w:history="1">
              <w:r w:rsidRPr="0075571B">
                <w:rPr>
                  <w:rFonts w:ascii="MS UI Gothic" w:eastAsia="MS UI Gothic" w:hAnsi="MS UI Gothic" w:cs="MS UI Gothic"/>
                  <w:color w:val="0000FF"/>
                  <w:u w:val="single"/>
                  <w:lang w:val="en-US" w:eastAsia="ja-JP"/>
                </w:rPr>
                <w:t>OEC Webサイト</w:t>
              </w:r>
            </w:hyperlink>
            <w:r w:rsidRPr="0075571B">
              <w:rPr>
                <w:rFonts w:ascii="MS UI Gothic" w:eastAsia="MS UI Gothic" w:hAnsi="MS UI Gothic" w:cs="MS UI Gothic"/>
                <w:lang w:val="en-US" w:eastAsia="ja-JP"/>
              </w:rPr>
              <w:t>にあるiComplyのコンプライアンス連絡先ページをご確認ください。</w:t>
            </w:r>
          </w:p>
        </w:tc>
      </w:tr>
      <w:tr w:rsidR="00C12BEE" w:rsidRPr="0075571B" w14:paraId="3E60E88B" w14:textId="77777777" w:rsidTr="00132601">
        <w:tc>
          <w:tcPr>
            <w:tcW w:w="1129" w:type="dxa"/>
            <w:shd w:val="clear" w:color="auto" w:fill="D9E2F3" w:themeFill="accent1" w:themeFillTint="33"/>
            <w:tcMar>
              <w:top w:w="120" w:type="dxa"/>
              <w:left w:w="180" w:type="dxa"/>
              <w:bottom w:w="120" w:type="dxa"/>
              <w:right w:w="180" w:type="dxa"/>
            </w:tcMar>
            <w:hideMark/>
          </w:tcPr>
          <w:p w14:paraId="53FDF189"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50280935"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REFERENCE MATERIAL</w:t>
            </w:r>
          </w:p>
        </w:tc>
        <w:tc>
          <w:tcPr>
            <w:tcW w:w="6000" w:type="dxa"/>
            <w:vAlign w:val="center"/>
          </w:tcPr>
          <w:p w14:paraId="2AF61A6F" w14:textId="43C9FC35"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参考資料</w:t>
            </w:r>
          </w:p>
        </w:tc>
      </w:tr>
      <w:tr w:rsidR="00C12BEE" w:rsidRPr="0075571B" w14:paraId="0D77C45A" w14:textId="77777777" w:rsidTr="00132601">
        <w:tc>
          <w:tcPr>
            <w:tcW w:w="1129" w:type="dxa"/>
            <w:shd w:val="clear" w:color="auto" w:fill="D9E2F3" w:themeFill="accent1" w:themeFillTint="33"/>
            <w:tcMar>
              <w:top w:w="120" w:type="dxa"/>
              <w:left w:w="180" w:type="dxa"/>
              <w:bottom w:w="120" w:type="dxa"/>
              <w:right w:w="180" w:type="dxa"/>
            </w:tcMar>
          </w:tcPr>
          <w:p w14:paraId="25D1546A" w14:textId="086C1CD3"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6AA025E5" w14:textId="6154844F" w:rsidR="00B4426F" w:rsidRPr="0075571B" w:rsidRDefault="0075571B" w:rsidP="00B4426F">
            <w:pPr>
              <w:pStyle w:val="NormalWeb"/>
              <w:ind w:left="30" w:right="30"/>
              <w:rPr>
                <w:rFonts w:ascii="Calibri" w:hAnsi="Calibri" w:cs="Calibri"/>
                <w:lang w:val="en-IE"/>
              </w:rPr>
            </w:pPr>
            <w:r w:rsidRPr="0075571B">
              <w:rPr>
                <w:rFonts w:ascii="Calibri" w:hAnsi="Calibri" w:cs="Calibri"/>
                <w:lang w:val="en-IE"/>
              </w:rPr>
              <w:t>Course Resources</w:t>
            </w:r>
          </w:p>
        </w:tc>
        <w:tc>
          <w:tcPr>
            <w:tcW w:w="6000" w:type="dxa"/>
            <w:vAlign w:val="center"/>
          </w:tcPr>
          <w:p w14:paraId="1CDAB5A9" w14:textId="36DD6195"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IE" w:eastAsia="ja-JP"/>
              </w:rPr>
              <w:t>コースのリソース</w:t>
            </w:r>
          </w:p>
        </w:tc>
      </w:tr>
      <w:tr w:rsidR="00C12BEE" w:rsidRPr="0075571B" w14:paraId="666A8C4F" w14:textId="77777777" w:rsidTr="00132601">
        <w:tc>
          <w:tcPr>
            <w:tcW w:w="1129" w:type="dxa"/>
            <w:shd w:val="clear" w:color="auto" w:fill="D9E2F3" w:themeFill="accent1" w:themeFillTint="33"/>
            <w:tcMar>
              <w:top w:w="120" w:type="dxa"/>
              <w:left w:w="180" w:type="dxa"/>
              <w:bottom w:w="120" w:type="dxa"/>
              <w:right w:w="180" w:type="dxa"/>
            </w:tcMar>
            <w:hideMark/>
          </w:tcPr>
          <w:p w14:paraId="26C5FCA2"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1479880E" w14:textId="369A6ED8"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Transcript</w:t>
            </w:r>
          </w:p>
        </w:tc>
        <w:tc>
          <w:tcPr>
            <w:tcW w:w="6000" w:type="dxa"/>
            <w:vAlign w:val="center"/>
          </w:tcPr>
          <w:p w14:paraId="15653337" w14:textId="65F57348"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文字内容</w:t>
            </w:r>
          </w:p>
        </w:tc>
      </w:tr>
      <w:tr w:rsidR="00C12BEE" w:rsidRPr="0075571B" w14:paraId="3156AA01" w14:textId="77777777" w:rsidTr="00132601">
        <w:tc>
          <w:tcPr>
            <w:tcW w:w="1129" w:type="dxa"/>
            <w:shd w:val="clear" w:color="auto" w:fill="D9E2F3" w:themeFill="accent1" w:themeFillTint="33"/>
            <w:tcMar>
              <w:top w:w="120" w:type="dxa"/>
              <w:left w:w="180" w:type="dxa"/>
              <w:bottom w:w="120" w:type="dxa"/>
              <w:right w:w="180" w:type="dxa"/>
            </w:tcMar>
            <w:hideMark/>
          </w:tcPr>
          <w:p w14:paraId="2095AFE8"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298A1EC4"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Click </w:t>
            </w:r>
            <w:hyperlink r:id="rId6" w:tgtFrame="_blank" w:history="1">
              <w:r w:rsidRPr="0075571B">
                <w:rPr>
                  <w:rStyle w:val="Hyperlink"/>
                  <w:rFonts w:ascii="Calibri" w:eastAsia="Times New Roman" w:hAnsi="Calibri" w:cs="Calibri"/>
                  <w:lang w:val="en-US"/>
                </w:rPr>
                <w:t>here</w:t>
              </w:r>
            </w:hyperlink>
            <w:r w:rsidRPr="0075571B">
              <w:rPr>
                <w:rFonts w:ascii="Calibri" w:eastAsia="Times New Roman" w:hAnsi="Calibri" w:cs="Calibri"/>
                <w:lang w:val="en-US"/>
              </w:rPr>
              <w:t xml:space="preserve"> for a full transcript of the course.</w:t>
            </w:r>
          </w:p>
        </w:tc>
        <w:tc>
          <w:tcPr>
            <w:tcW w:w="6000" w:type="dxa"/>
            <w:vAlign w:val="center"/>
          </w:tcPr>
          <w:p w14:paraId="32CB039F" w14:textId="14548F6A"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コース内容の全文を読むには、</w:t>
            </w:r>
            <w:hyperlink r:id="rId7" w:tgtFrame="_blank" w:history="1">
              <w:r w:rsidRPr="0075571B">
                <w:rPr>
                  <w:rFonts w:ascii="MS UI Gothic" w:eastAsia="MS UI Gothic" w:hAnsi="MS UI Gothic" w:cs="MS UI Gothic"/>
                  <w:color w:val="0000FF"/>
                  <w:u w:val="single"/>
                  <w:lang w:val="en-US" w:eastAsia="ja-JP"/>
                </w:rPr>
                <w:t>こちら</w:t>
              </w:r>
            </w:hyperlink>
            <w:r w:rsidRPr="0075571B">
              <w:rPr>
                <w:rFonts w:ascii="MS UI Gothic" w:eastAsia="MS UI Gothic" w:hAnsi="MS UI Gothic" w:cs="MS UI Gothic"/>
                <w:lang w:val="en-US" w:eastAsia="ja-JP"/>
              </w:rPr>
              <w:t>をクリックしてください。</w:t>
            </w:r>
          </w:p>
        </w:tc>
      </w:tr>
      <w:tr w:rsidR="00C12BEE" w:rsidRPr="0075571B" w14:paraId="707A1E6E" w14:textId="77777777" w:rsidTr="00132601">
        <w:tc>
          <w:tcPr>
            <w:tcW w:w="1129" w:type="dxa"/>
            <w:shd w:val="clear" w:color="auto" w:fill="D9E2F3" w:themeFill="accent1" w:themeFillTint="33"/>
            <w:tcMar>
              <w:top w:w="120" w:type="dxa"/>
              <w:left w:w="180" w:type="dxa"/>
              <w:bottom w:w="120" w:type="dxa"/>
              <w:right w:w="180" w:type="dxa"/>
            </w:tcMar>
            <w:hideMark/>
          </w:tcPr>
          <w:p w14:paraId="64C4A787"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675BC49A"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46922AA0" w14:textId="0B0E8B76"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以下の理解度チェックでは10つの質問があります。このコースを修了するためには80％以上正解する必要があります。</w:t>
            </w:r>
          </w:p>
        </w:tc>
      </w:tr>
      <w:tr w:rsidR="00C12BEE" w:rsidRPr="0075571B" w14:paraId="507C18F0" w14:textId="77777777" w:rsidTr="00132601">
        <w:tc>
          <w:tcPr>
            <w:tcW w:w="1129" w:type="dxa"/>
            <w:shd w:val="clear" w:color="auto" w:fill="D9E2F3" w:themeFill="accent1" w:themeFillTint="33"/>
            <w:tcMar>
              <w:top w:w="120" w:type="dxa"/>
              <w:left w:w="180" w:type="dxa"/>
              <w:bottom w:w="120" w:type="dxa"/>
              <w:right w:w="180" w:type="dxa"/>
            </w:tcMar>
            <w:hideMark/>
          </w:tcPr>
          <w:p w14:paraId="17EE47CB"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2B44E487"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When you are ready, click the Knowledge Check button. </w:t>
            </w:r>
          </w:p>
        </w:tc>
        <w:tc>
          <w:tcPr>
            <w:tcW w:w="6000" w:type="dxa"/>
            <w:vAlign w:val="center"/>
          </w:tcPr>
          <w:p w14:paraId="0CFFE836" w14:textId="4808D8F3"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準備ができたら、理解度チェックボタンをクリックしてください。</w:t>
            </w:r>
          </w:p>
        </w:tc>
      </w:tr>
      <w:tr w:rsidR="00C12BEE" w:rsidRPr="0075571B" w14:paraId="75502C38" w14:textId="77777777" w:rsidTr="00132601">
        <w:tc>
          <w:tcPr>
            <w:tcW w:w="1129" w:type="dxa"/>
            <w:shd w:val="clear" w:color="auto" w:fill="D9E2F3" w:themeFill="accent1" w:themeFillTint="33"/>
            <w:tcMar>
              <w:top w:w="120" w:type="dxa"/>
              <w:left w:w="180" w:type="dxa"/>
              <w:bottom w:w="120" w:type="dxa"/>
              <w:right w:w="180" w:type="dxa"/>
            </w:tcMar>
            <w:hideMark/>
          </w:tcPr>
          <w:p w14:paraId="43D5874E"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71B48630"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358CCAE3" w14:textId="1677CD21"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利益相反がある場合、希望する活動は自動的に禁止されます。</w:t>
            </w:r>
          </w:p>
        </w:tc>
      </w:tr>
      <w:tr w:rsidR="00C12BEE" w:rsidRPr="0075571B" w14:paraId="1DA38D45" w14:textId="77777777" w:rsidTr="00132601">
        <w:tc>
          <w:tcPr>
            <w:tcW w:w="1129" w:type="dxa"/>
            <w:shd w:val="clear" w:color="auto" w:fill="D9E2F3" w:themeFill="accent1" w:themeFillTint="33"/>
            <w:tcMar>
              <w:top w:w="120" w:type="dxa"/>
              <w:left w:w="180" w:type="dxa"/>
              <w:bottom w:w="120" w:type="dxa"/>
              <w:right w:w="180" w:type="dxa"/>
            </w:tcMar>
            <w:hideMark/>
          </w:tcPr>
          <w:p w14:paraId="1FBD64AB"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3FCBC592" w14:textId="026956A1"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Having a conflict of interest does not automatically prohibit you from pursuing the desired activity. Oftentimes, conflicts of interest can be resolved by taking certain actions to minimize or eliminate the conflict and avoid any impact to Abbott’s business.</w:t>
            </w:r>
          </w:p>
        </w:tc>
        <w:tc>
          <w:tcPr>
            <w:tcW w:w="6000" w:type="dxa"/>
            <w:vAlign w:val="center"/>
          </w:tcPr>
          <w:p w14:paraId="07673687" w14:textId="0D051F37"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利益相反があることで、希望する活動が自動的に禁止されるわけではありません。多くの場合、一定の行動を取ることで利益の相反を最小化もしくは排除し、アボットの事業に一切の影響が及ばないようにできます。</w:t>
            </w:r>
          </w:p>
        </w:tc>
      </w:tr>
      <w:tr w:rsidR="00C12BEE" w:rsidRPr="0075571B" w14:paraId="2DCBF3F9" w14:textId="77777777" w:rsidTr="00132601">
        <w:tc>
          <w:tcPr>
            <w:tcW w:w="1129" w:type="dxa"/>
            <w:shd w:val="clear" w:color="auto" w:fill="D9E2F3" w:themeFill="accent1" w:themeFillTint="33"/>
            <w:tcMar>
              <w:top w:w="120" w:type="dxa"/>
              <w:left w:w="180" w:type="dxa"/>
              <w:bottom w:w="120" w:type="dxa"/>
              <w:right w:w="180" w:type="dxa"/>
            </w:tcMar>
            <w:hideMark/>
          </w:tcPr>
          <w:p w14:paraId="266F5AB2"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18F73535" w14:textId="4017596D"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Yes. Hiring your sister’s company would create a conflict of interest involving a family member. However, these types of conflicts can be resolved by simply disclosing the situation to your manager.</w:t>
            </w:r>
          </w:p>
        </w:tc>
        <w:tc>
          <w:tcPr>
            <w:tcW w:w="6000" w:type="dxa"/>
            <w:vAlign w:val="center"/>
          </w:tcPr>
          <w:p w14:paraId="5EC10439" w14:textId="188B4B9D"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はい。あなたの妹の会社を採用した場合、親族にまつわる利益相反となります。ただし、こうした種類の利益相反は、その状況について自分の上司に開示することで簡単に解決できます。</w:t>
            </w:r>
          </w:p>
        </w:tc>
      </w:tr>
      <w:tr w:rsidR="00C12BEE" w:rsidRPr="0075571B" w14:paraId="7954560B" w14:textId="77777777" w:rsidTr="00132601">
        <w:tc>
          <w:tcPr>
            <w:tcW w:w="1129" w:type="dxa"/>
            <w:shd w:val="clear" w:color="auto" w:fill="D9E2F3" w:themeFill="accent1" w:themeFillTint="33"/>
            <w:tcMar>
              <w:top w:w="120" w:type="dxa"/>
              <w:left w:w="180" w:type="dxa"/>
              <w:bottom w:w="120" w:type="dxa"/>
              <w:right w:w="180" w:type="dxa"/>
            </w:tcMar>
            <w:hideMark/>
          </w:tcPr>
          <w:p w14:paraId="045B5534"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3EE052C7"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3ED4808C" w14:textId="32E07637"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はい。サプライヤーから贈り物、支払い、またその他の誘因報酬を受け取った場合、潜在的な利益相反となります。</w:t>
            </w:r>
          </w:p>
        </w:tc>
      </w:tr>
      <w:tr w:rsidR="00C12BEE" w:rsidRPr="0075571B" w14:paraId="4B709E7A" w14:textId="77777777" w:rsidTr="00132601">
        <w:tc>
          <w:tcPr>
            <w:tcW w:w="1129" w:type="dxa"/>
            <w:shd w:val="clear" w:color="auto" w:fill="D9E2F3" w:themeFill="accent1" w:themeFillTint="33"/>
            <w:tcMar>
              <w:top w:w="120" w:type="dxa"/>
              <w:left w:w="180" w:type="dxa"/>
              <w:bottom w:w="120" w:type="dxa"/>
              <w:right w:w="180" w:type="dxa"/>
            </w:tcMar>
            <w:hideMark/>
          </w:tcPr>
          <w:p w14:paraId="3375E65F"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4D13A673"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Yes. Abbott employees are not allowed to attend supplier-sponsored events for any purpose.</w:t>
            </w:r>
          </w:p>
        </w:tc>
        <w:tc>
          <w:tcPr>
            <w:tcW w:w="6000" w:type="dxa"/>
            <w:vAlign w:val="center"/>
          </w:tcPr>
          <w:p w14:paraId="05E55EC0" w14:textId="6823EDF3"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はい。アボットの従業員は、サプライヤー主催のイベントにいかなる目的であっても参加できません。</w:t>
            </w:r>
          </w:p>
        </w:tc>
      </w:tr>
      <w:tr w:rsidR="00C12BEE" w:rsidRPr="0075571B" w14:paraId="394E395C" w14:textId="77777777" w:rsidTr="00132601">
        <w:tc>
          <w:tcPr>
            <w:tcW w:w="1129" w:type="dxa"/>
            <w:shd w:val="clear" w:color="auto" w:fill="D9E2F3" w:themeFill="accent1" w:themeFillTint="33"/>
            <w:tcMar>
              <w:top w:w="120" w:type="dxa"/>
              <w:left w:w="180" w:type="dxa"/>
              <w:bottom w:w="120" w:type="dxa"/>
              <w:right w:w="180" w:type="dxa"/>
            </w:tcMar>
            <w:hideMark/>
          </w:tcPr>
          <w:p w14:paraId="3A7C8709"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56554081" w14:textId="3E0F41A1"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It may also create a perception of inappropriate behavior. You should discuss the situation with your manager. </w:t>
            </w:r>
          </w:p>
        </w:tc>
        <w:tc>
          <w:tcPr>
            <w:tcW w:w="6000" w:type="dxa"/>
            <w:vAlign w:val="center"/>
          </w:tcPr>
          <w:p w14:paraId="1F9885B5" w14:textId="456C788A"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アボットのサプライヤー、業者、またはその他の仕事関係者から贈り物、支払い、またはその他の誘因報酬を受け取った場合、それが従業員の購買決定に影響を及ぼすか、及ぼしていると見なされる可能性があるため、利益相反となるおそれがあります。また、これは不適切な行動と見なされる可能性もあります。状況について上司と話し合いましょう。</w:t>
            </w:r>
          </w:p>
        </w:tc>
      </w:tr>
      <w:tr w:rsidR="00C12BEE" w:rsidRPr="0075571B" w14:paraId="53C0DDEC" w14:textId="77777777" w:rsidTr="00132601">
        <w:tc>
          <w:tcPr>
            <w:tcW w:w="1129" w:type="dxa"/>
            <w:shd w:val="clear" w:color="auto" w:fill="D9E2F3" w:themeFill="accent1" w:themeFillTint="33"/>
            <w:tcMar>
              <w:top w:w="120" w:type="dxa"/>
              <w:left w:w="180" w:type="dxa"/>
              <w:bottom w:w="120" w:type="dxa"/>
              <w:right w:w="180" w:type="dxa"/>
            </w:tcMar>
            <w:hideMark/>
          </w:tcPr>
          <w:p w14:paraId="08FB58A4"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2D84335E"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43B361EF" w14:textId="6D592A3C"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このため、ほかの潜在的な雇用またはコンサルティングの機会同様、これが利益相反になる可能性を秘めているものと捉え、上司と状況について話し合う必要があります。</w:t>
            </w:r>
          </w:p>
        </w:tc>
      </w:tr>
      <w:tr w:rsidR="00C12BEE" w:rsidRPr="0075571B" w14:paraId="7A997884" w14:textId="77777777" w:rsidTr="00132601">
        <w:tc>
          <w:tcPr>
            <w:tcW w:w="1129" w:type="dxa"/>
            <w:shd w:val="clear" w:color="auto" w:fill="D9E2F3" w:themeFill="accent1" w:themeFillTint="33"/>
            <w:tcMar>
              <w:top w:w="120" w:type="dxa"/>
              <w:left w:w="180" w:type="dxa"/>
              <w:bottom w:w="120" w:type="dxa"/>
              <w:right w:w="180" w:type="dxa"/>
            </w:tcMar>
            <w:hideMark/>
          </w:tcPr>
          <w:p w14:paraId="290E873E"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2D672D91"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6A4BD78F" w14:textId="10B6336A"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残念ながら、理解度チェックに合格しませんでした。数分時間を取って、以下の各質問をクリックして結果を確認してください。</w:t>
            </w:r>
          </w:p>
        </w:tc>
      </w:tr>
      <w:tr w:rsidR="00C12BEE" w:rsidRPr="0075571B" w14:paraId="1EC4147E" w14:textId="77777777" w:rsidTr="00132601">
        <w:tc>
          <w:tcPr>
            <w:tcW w:w="1129" w:type="dxa"/>
            <w:shd w:val="clear" w:color="auto" w:fill="D9E2F3" w:themeFill="accent1" w:themeFillTint="33"/>
            <w:tcMar>
              <w:top w:w="120" w:type="dxa"/>
              <w:left w:w="180" w:type="dxa"/>
              <w:bottom w:w="120" w:type="dxa"/>
              <w:right w:w="180" w:type="dxa"/>
            </w:tcMar>
            <w:hideMark/>
          </w:tcPr>
          <w:p w14:paraId="6CB14B8C"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68AC33C4"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 xml:space="preserve">When you are done, click the </w:t>
            </w:r>
            <w:r w:rsidRPr="0075571B">
              <w:rPr>
                <w:rStyle w:val="bold1"/>
                <w:rFonts w:ascii="Calibri" w:eastAsia="Times New Roman" w:hAnsi="Calibri" w:cs="Calibri"/>
                <w:lang w:val="en-US"/>
              </w:rPr>
              <w:t>Retake</w:t>
            </w:r>
            <w:r w:rsidRPr="0075571B">
              <w:rPr>
                <w:rFonts w:ascii="Calibri" w:eastAsia="Times New Roman" w:hAnsi="Calibri" w:cs="Calibri"/>
                <w:lang w:val="en-US"/>
              </w:rPr>
              <w:t xml:space="preserve"> button.</w:t>
            </w:r>
          </w:p>
        </w:tc>
        <w:tc>
          <w:tcPr>
            <w:tcW w:w="6000" w:type="dxa"/>
            <w:vAlign w:val="center"/>
          </w:tcPr>
          <w:p w14:paraId="314AD46D" w14:textId="38DF2779"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確認し終わったら、</w:t>
            </w:r>
            <w:r w:rsidRPr="0075571B">
              <w:rPr>
                <w:rFonts w:ascii="MS UI Gothic" w:eastAsia="MS UI Gothic" w:hAnsi="MS UI Gothic" w:cs="MS UI Gothic"/>
                <w:b/>
                <w:bCs/>
                <w:lang w:val="en-US" w:eastAsia="ja-JP"/>
              </w:rPr>
              <w:t>「再挑戦」</w:t>
            </w:r>
            <w:r w:rsidRPr="0075571B">
              <w:rPr>
                <w:rFonts w:ascii="MS UI Gothic" w:eastAsia="MS UI Gothic" w:hAnsi="MS UI Gothic" w:cs="MS UI Gothic"/>
                <w:lang w:val="en-US" w:eastAsia="ja-JP"/>
              </w:rPr>
              <w:t>ボタンをクリックしてください。</w:t>
            </w:r>
          </w:p>
        </w:tc>
      </w:tr>
      <w:tr w:rsidR="00C12BEE" w:rsidRPr="0075571B" w14:paraId="23B8E9BE" w14:textId="77777777" w:rsidTr="00132601">
        <w:tc>
          <w:tcPr>
            <w:tcW w:w="1129" w:type="dxa"/>
            <w:shd w:val="clear" w:color="auto" w:fill="D9E2F3" w:themeFill="accent1" w:themeFillTint="33"/>
            <w:tcMar>
              <w:top w:w="120" w:type="dxa"/>
              <w:left w:w="180" w:type="dxa"/>
              <w:bottom w:w="120" w:type="dxa"/>
              <w:right w:w="180" w:type="dxa"/>
            </w:tcMar>
            <w:hideMark/>
          </w:tcPr>
          <w:p w14:paraId="6352F6C5" w14:textId="77777777"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00D1CAF9" w14:textId="77777777" w:rsidR="00B4426F" w:rsidRPr="0075571B" w:rsidRDefault="0075571B" w:rsidP="00B4426F">
            <w:pPr>
              <w:spacing w:before="30" w:after="30"/>
              <w:ind w:left="30" w:right="30"/>
              <w:rPr>
                <w:rFonts w:ascii="Calibri" w:eastAsia="Times New Roman" w:hAnsi="Calibri" w:cs="Calibri"/>
                <w:lang w:val="en-US"/>
              </w:rPr>
            </w:pPr>
            <w:r w:rsidRPr="0075571B">
              <w:rPr>
                <w:rFonts w:ascii="Calibri" w:eastAsia="Times New Roman" w:hAnsi="Calibri" w:cs="Calibri"/>
                <w:lang w:val="en-US"/>
              </w:rPr>
              <w:t>Please retake the questions indicated.</w:t>
            </w:r>
          </w:p>
        </w:tc>
        <w:tc>
          <w:tcPr>
            <w:tcW w:w="6000" w:type="dxa"/>
            <w:vAlign w:val="center"/>
          </w:tcPr>
          <w:p w14:paraId="0B64590C" w14:textId="63FA2F1C"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val="en-US" w:eastAsia="ja-JP"/>
              </w:rPr>
              <w:t>表示される質問に再挑戦してください。</w:t>
            </w:r>
          </w:p>
        </w:tc>
      </w:tr>
      <w:tr w:rsidR="00C12BEE" w:rsidRPr="0075571B" w14:paraId="36828BD6" w14:textId="77777777" w:rsidTr="00132601">
        <w:tc>
          <w:tcPr>
            <w:tcW w:w="1129" w:type="dxa"/>
            <w:shd w:val="clear" w:color="auto" w:fill="D9E2F3" w:themeFill="accent1" w:themeFillTint="33"/>
            <w:tcMar>
              <w:top w:w="120" w:type="dxa"/>
              <w:left w:w="180" w:type="dxa"/>
              <w:bottom w:w="120" w:type="dxa"/>
              <w:right w:w="180" w:type="dxa"/>
            </w:tcMar>
          </w:tcPr>
          <w:p w14:paraId="69C7009D" w14:textId="4602E9D5"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126F6DD7" w14:textId="0E54F32C" w:rsidR="00B4426F" w:rsidRPr="0075571B" w:rsidRDefault="0075571B" w:rsidP="00B4426F">
            <w:pPr>
              <w:spacing w:before="30" w:after="30"/>
              <w:ind w:left="30" w:right="30"/>
              <w:rPr>
                <w:rFonts w:ascii="Calibri" w:eastAsia="Times New Roman" w:hAnsi="Calibri" w:cs="Calibri"/>
                <w:lang w:val="en-US"/>
              </w:rPr>
            </w:pPr>
            <w:r w:rsidRPr="0075571B">
              <w:rPr>
                <w:rFonts w:ascii="Calibri" w:hAnsi="Calibri" w:cs="Calibri"/>
              </w:rPr>
              <w:t>Menu</w:t>
            </w:r>
          </w:p>
        </w:tc>
        <w:tc>
          <w:tcPr>
            <w:tcW w:w="6000" w:type="dxa"/>
            <w:vAlign w:val="center"/>
          </w:tcPr>
          <w:p w14:paraId="57D58CAC" w14:textId="0FEE436E"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eastAsia="ja-JP"/>
              </w:rPr>
              <w:t>メニュー</w:t>
            </w:r>
          </w:p>
        </w:tc>
      </w:tr>
      <w:tr w:rsidR="00C12BEE" w:rsidRPr="0075571B" w14:paraId="78CF58D7" w14:textId="77777777" w:rsidTr="00132601">
        <w:tc>
          <w:tcPr>
            <w:tcW w:w="1129" w:type="dxa"/>
            <w:shd w:val="clear" w:color="auto" w:fill="D9E2F3" w:themeFill="accent1" w:themeFillTint="33"/>
            <w:tcMar>
              <w:top w:w="120" w:type="dxa"/>
              <w:left w:w="180" w:type="dxa"/>
              <w:bottom w:w="120" w:type="dxa"/>
              <w:right w:w="180" w:type="dxa"/>
            </w:tcMar>
          </w:tcPr>
          <w:p w14:paraId="493B530E" w14:textId="0A756E08"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03EE106A" w14:textId="6C019621" w:rsidR="00B4426F" w:rsidRPr="0075571B" w:rsidRDefault="0075571B" w:rsidP="00B4426F">
            <w:pPr>
              <w:spacing w:before="30" w:after="30"/>
              <w:ind w:left="30" w:right="30"/>
              <w:rPr>
                <w:rFonts w:ascii="Calibri" w:eastAsia="Times New Roman" w:hAnsi="Calibri" w:cs="Calibri"/>
                <w:lang w:val="en-US"/>
              </w:rPr>
            </w:pPr>
            <w:r w:rsidRPr="0075571B">
              <w:rPr>
                <w:rFonts w:ascii="Calibri" w:hAnsi="Calibri" w:cs="Calibri"/>
              </w:rPr>
              <w:t>Review</w:t>
            </w:r>
          </w:p>
        </w:tc>
        <w:tc>
          <w:tcPr>
            <w:tcW w:w="6000" w:type="dxa"/>
            <w:vAlign w:val="center"/>
          </w:tcPr>
          <w:p w14:paraId="5EF85B31" w14:textId="429D88E9"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eastAsia="ja-JP"/>
              </w:rPr>
              <w:t>確認</w:t>
            </w:r>
          </w:p>
        </w:tc>
      </w:tr>
      <w:tr w:rsidR="00C12BEE" w:rsidRPr="0075571B" w14:paraId="364036AA" w14:textId="77777777" w:rsidTr="00132601">
        <w:tc>
          <w:tcPr>
            <w:tcW w:w="1129" w:type="dxa"/>
            <w:shd w:val="clear" w:color="auto" w:fill="D9E2F3" w:themeFill="accent1" w:themeFillTint="33"/>
            <w:tcMar>
              <w:top w:w="120" w:type="dxa"/>
              <w:left w:w="180" w:type="dxa"/>
              <w:bottom w:w="120" w:type="dxa"/>
              <w:right w:w="180" w:type="dxa"/>
            </w:tcMar>
          </w:tcPr>
          <w:p w14:paraId="45901B7A" w14:textId="0A3605D2" w:rsidR="00B4426F" w:rsidRPr="0075571B" w:rsidRDefault="0075571B" w:rsidP="00B4426F">
            <w:pPr>
              <w:spacing w:before="30" w:after="30"/>
              <w:ind w:left="30" w:right="30"/>
              <w:rPr>
                <w:rFonts w:ascii="Calibri" w:eastAsia="Times New Roman" w:hAnsi="Calibri" w:cs="Calibri"/>
                <w:sz w:val="16"/>
                <w:lang w:val="en-US"/>
              </w:rPr>
            </w:pPr>
            <w:r w:rsidRPr="0075571B">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447AFC66" w14:textId="13E96435" w:rsidR="00B4426F" w:rsidRPr="0075571B" w:rsidRDefault="0075571B" w:rsidP="00B4426F">
            <w:pPr>
              <w:spacing w:before="30" w:after="30"/>
              <w:ind w:left="30" w:right="30"/>
              <w:rPr>
                <w:rFonts w:ascii="Calibri" w:eastAsia="Times New Roman" w:hAnsi="Calibri" w:cs="Calibri"/>
                <w:lang w:val="en-US"/>
              </w:rPr>
            </w:pPr>
            <w:r w:rsidRPr="0075571B">
              <w:rPr>
                <w:rFonts w:ascii="Calibri" w:hAnsi="Calibri" w:cs="Calibri"/>
              </w:rPr>
              <w:t>Retake</w:t>
            </w:r>
          </w:p>
        </w:tc>
        <w:tc>
          <w:tcPr>
            <w:tcW w:w="6000" w:type="dxa"/>
            <w:vAlign w:val="center"/>
          </w:tcPr>
          <w:p w14:paraId="3D31B02B" w14:textId="309A2418" w:rsidR="00B4426F" w:rsidRPr="0075571B" w:rsidRDefault="0075571B" w:rsidP="00B4426F">
            <w:pPr>
              <w:spacing w:before="30" w:after="30"/>
              <w:ind w:left="30" w:right="30"/>
              <w:rPr>
                <w:rFonts w:ascii="Calibri" w:eastAsia="Times New Roman" w:hAnsi="Calibri" w:cs="Calibri"/>
                <w:lang w:val="en-US"/>
              </w:rPr>
            </w:pPr>
            <w:r w:rsidRPr="0075571B">
              <w:rPr>
                <w:rFonts w:ascii="MS UI Gothic" w:eastAsia="MS UI Gothic" w:hAnsi="MS UI Gothic" w:cs="MS UI Gothic"/>
                <w:lang w:eastAsia="ja-JP"/>
              </w:rPr>
              <w:t>再挑戦</w:t>
            </w:r>
          </w:p>
        </w:tc>
      </w:tr>
    </w:tbl>
    <w:p w14:paraId="07EBEED6" w14:textId="77777777" w:rsidR="00D52CD6" w:rsidRPr="00262436" w:rsidRDefault="00D52CD6">
      <w:pPr>
        <w:rPr>
          <w:rFonts w:eastAsia="Times New Roman"/>
          <w:lang w:val="en-IE"/>
        </w:rPr>
      </w:pPr>
    </w:p>
    <w:sectPr w:rsidR="00D52CD6" w:rsidRPr="00262436" w:rsidSect="00386BB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BB8"/>
    <w:rsid w:val="00131344"/>
    <w:rsid w:val="002046BA"/>
    <w:rsid w:val="00262436"/>
    <w:rsid w:val="00347A98"/>
    <w:rsid w:val="00386BB8"/>
    <w:rsid w:val="003C60F3"/>
    <w:rsid w:val="005374B1"/>
    <w:rsid w:val="006752B7"/>
    <w:rsid w:val="006E6E5E"/>
    <w:rsid w:val="0075571B"/>
    <w:rsid w:val="0087124E"/>
    <w:rsid w:val="00A739CE"/>
    <w:rsid w:val="00A96846"/>
    <w:rsid w:val="00AE1A81"/>
    <w:rsid w:val="00B4426F"/>
    <w:rsid w:val="00B66B31"/>
    <w:rsid w:val="00C12BEE"/>
    <w:rsid w:val="00CE3D58"/>
    <w:rsid w:val="00D52CD6"/>
    <w:rsid w:val="00F064E1"/>
    <w:rsid w:val="00F31416"/>
    <w:rsid w:val="00F35B09"/>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E369B"/>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rsid w:val="00386BB8"/>
    <w:pPr>
      <w:tabs>
        <w:tab w:val="center" w:pos="4513"/>
        <w:tab w:val="right" w:pos="9026"/>
      </w:tabs>
    </w:pPr>
  </w:style>
  <w:style w:type="character" w:customStyle="1" w:styleId="HeaderChar">
    <w:name w:val="Header Char"/>
    <w:basedOn w:val="DefaultParagraphFont"/>
    <w:link w:val="Header"/>
    <w:uiPriority w:val="99"/>
    <w:rsid w:val="00386BB8"/>
    <w:rPr>
      <w:rFonts w:eastAsiaTheme="minorEastAsia"/>
      <w:sz w:val="24"/>
      <w:szCs w:val="24"/>
    </w:rPr>
  </w:style>
  <w:style w:type="paragraph" w:styleId="Footer">
    <w:name w:val="footer"/>
    <w:basedOn w:val="Normal"/>
    <w:link w:val="FooterChar"/>
    <w:uiPriority w:val="99"/>
    <w:unhideWhenUsed/>
    <w:rsid w:val="00386BB8"/>
    <w:pPr>
      <w:tabs>
        <w:tab w:val="center" w:pos="4513"/>
        <w:tab w:val="right" w:pos="9026"/>
      </w:tabs>
    </w:pPr>
  </w:style>
  <w:style w:type="character" w:customStyle="1" w:styleId="FooterChar">
    <w:name w:val="Footer Char"/>
    <w:basedOn w:val="DefaultParagraphFont"/>
    <w:link w:val="Footer"/>
    <w:uiPriority w:val="99"/>
    <w:rsid w:val="00386BB8"/>
    <w:rPr>
      <w:rFonts w:eastAsiaTheme="minorEastAsia"/>
      <w:sz w:val="24"/>
      <w:szCs w:val="24"/>
    </w:rPr>
  </w:style>
  <w:style w:type="paragraph" w:styleId="NormalWeb">
    <w:name w:val="Normal (Web)"/>
    <w:basedOn w:val="Normal"/>
    <w:uiPriority w:val="99"/>
    <w:unhideWhenUsed/>
    <w:rsid w:val="006E6E5E"/>
    <w:pPr>
      <w:spacing w:before="100" w:beforeAutospacing="1" w:after="100" w:afterAutospacing="1"/>
    </w:pPr>
  </w:style>
  <w:style w:type="character" w:customStyle="1" w:styleId="UnresolvedMention1">
    <w:name w:val="Unresolved Mention1"/>
    <w:basedOn w:val="DefaultParagraphFont"/>
    <w:uiPriority w:val="99"/>
    <w:semiHidden/>
    <w:unhideWhenUsed/>
    <w:rsid w:val="00347A98"/>
    <w:rPr>
      <w:color w:val="605E5C"/>
      <w:shd w:val="clear" w:color="auto" w:fill="E1DFDD"/>
    </w:rPr>
  </w:style>
  <w:style w:type="paragraph" w:styleId="Revision">
    <w:name w:val="Revision"/>
    <w:hidden/>
    <w:uiPriority w:val="99"/>
    <w:semiHidden/>
    <w:rsid w:val="005374B1"/>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18</Pages>
  <Words>7750</Words>
  <Characters>12223</Characters>
  <Application>Microsoft Office Word</Application>
  <DocSecurity>0</DocSecurity>
  <Lines>101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9</cp:revision>
  <dcterms:created xsi:type="dcterms:W3CDTF">2023-02-28T10:16:00Z</dcterms:created>
  <dcterms:modified xsi:type="dcterms:W3CDTF">2023-03-09T12:04:00Z</dcterms:modified>
</cp:coreProperties>
</file>